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D0" w:rsidRDefault="00B410D0" w:rsidP="008062D0">
      <w:pPr>
        <w:jc w:val="center"/>
        <w:rPr>
          <w:b/>
          <w:sz w:val="48"/>
          <w:szCs w:val="48"/>
        </w:rPr>
      </w:pPr>
    </w:p>
    <w:p w:rsidR="008062D0" w:rsidRDefault="008062D0" w:rsidP="008062D0">
      <w:pPr>
        <w:jc w:val="center"/>
        <w:rPr>
          <w:b/>
          <w:sz w:val="48"/>
          <w:szCs w:val="48"/>
        </w:rPr>
      </w:pPr>
    </w:p>
    <w:p w:rsidR="008062D0" w:rsidRDefault="008062D0" w:rsidP="008062D0">
      <w:pPr>
        <w:jc w:val="center"/>
        <w:rPr>
          <w:b/>
          <w:sz w:val="48"/>
          <w:szCs w:val="48"/>
        </w:rPr>
      </w:pPr>
    </w:p>
    <w:p w:rsidR="008062D0" w:rsidRDefault="008062D0" w:rsidP="008062D0">
      <w:pPr>
        <w:jc w:val="center"/>
        <w:rPr>
          <w:b/>
          <w:sz w:val="48"/>
          <w:szCs w:val="48"/>
        </w:rPr>
      </w:pPr>
      <w:r>
        <w:rPr>
          <w:b/>
          <w:sz w:val="48"/>
          <w:szCs w:val="48"/>
        </w:rPr>
        <w:t>Investment Policy Statement</w:t>
      </w:r>
    </w:p>
    <w:p w:rsidR="008062D0" w:rsidRDefault="008062D0" w:rsidP="008062D0">
      <w:pPr>
        <w:jc w:val="center"/>
        <w:rPr>
          <w:b/>
          <w:sz w:val="48"/>
          <w:szCs w:val="48"/>
        </w:rPr>
      </w:pPr>
      <w:r>
        <w:rPr>
          <w:b/>
          <w:sz w:val="48"/>
          <w:szCs w:val="48"/>
        </w:rPr>
        <w:t>For The Jackson Symphony</w:t>
      </w:r>
    </w:p>
    <w:p w:rsidR="008062D0" w:rsidRDefault="00E511AB" w:rsidP="008062D0">
      <w:pPr>
        <w:jc w:val="center"/>
        <w:rPr>
          <w:b/>
          <w:sz w:val="48"/>
          <w:szCs w:val="48"/>
        </w:rPr>
      </w:pPr>
      <w:r>
        <w:rPr>
          <w:b/>
          <w:sz w:val="48"/>
          <w:szCs w:val="48"/>
        </w:rPr>
        <w:t xml:space="preserve">Endowment </w:t>
      </w:r>
    </w:p>
    <w:p w:rsidR="008062D0" w:rsidRDefault="008062D0" w:rsidP="008062D0">
      <w:pPr>
        <w:jc w:val="center"/>
        <w:rPr>
          <w:b/>
          <w:sz w:val="48"/>
          <w:szCs w:val="48"/>
        </w:rPr>
      </w:pPr>
    </w:p>
    <w:p w:rsidR="008062D0" w:rsidRDefault="008062D0" w:rsidP="008062D0">
      <w:pPr>
        <w:jc w:val="center"/>
        <w:rPr>
          <w:b/>
          <w:sz w:val="48"/>
          <w:szCs w:val="48"/>
        </w:rPr>
      </w:pPr>
    </w:p>
    <w:p w:rsidR="008062D0" w:rsidRDefault="008062D0" w:rsidP="008062D0">
      <w:pPr>
        <w:jc w:val="center"/>
        <w:rPr>
          <w:b/>
          <w:sz w:val="48"/>
          <w:szCs w:val="48"/>
        </w:rPr>
      </w:pPr>
    </w:p>
    <w:p w:rsidR="008062D0" w:rsidRDefault="008062D0" w:rsidP="008062D0">
      <w:pPr>
        <w:jc w:val="center"/>
        <w:rPr>
          <w:b/>
          <w:sz w:val="48"/>
          <w:szCs w:val="48"/>
        </w:rPr>
      </w:pPr>
      <w:r>
        <w:rPr>
          <w:b/>
          <w:sz w:val="48"/>
          <w:szCs w:val="48"/>
        </w:rPr>
        <w:t>Presented for consideration</w:t>
      </w:r>
    </w:p>
    <w:p w:rsidR="008062D0" w:rsidRDefault="008062D0" w:rsidP="008062D0">
      <w:pPr>
        <w:jc w:val="center"/>
        <w:rPr>
          <w:b/>
          <w:sz w:val="48"/>
          <w:szCs w:val="48"/>
        </w:rPr>
      </w:pPr>
    </w:p>
    <w:p w:rsidR="008062D0" w:rsidRDefault="008062D0" w:rsidP="008062D0">
      <w:pPr>
        <w:jc w:val="center"/>
        <w:rPr>
          <w:b/>
          <w:sz w:val="48"/>
          <w:szCs w:val="48"/>
        </w:rPr>
      </w:pPr>
    </w:p>
    <w:p w:rsidR="008062D0" w:rsidRDefault="008062D0" w:rsidP="008062D0">
      <w:pPr>
        <w:jc w:val="center"/>
        <w:rPr>
          <w:b/>
          <w:sz w:val="48"/>
          <w:szCs w:val="48"/>
        </w:rPr>
      </w:pPr>
    </w:p>
    <w:p w:rsidR="001C352D" w:rsidRDefault="001C352D" w:rsidP="008062D0">
      <w:pPr>
        <w:jc w:val="center"/>
        <w:rPr>
          <w:b/>
          <w:sz w:val="48"/>
          <w:szCs w:val="48"/>
        </w:rPr>
      </w:pPr>
    </w:p>
    <w:p w:rsidR="008062D0" w:rsidRDefault="008062D0" w:rsidP="008062D0">
      <w:pPr>
        <w:rPr>
          <w:sz w:val="24"/>
          <w:szCs w:val="24"/>
        </w:rPr>
      </w:pPr>
    </w:p>
    <w:p w:rsidR="008062D0" w:rsidRDefault="008062D0" w:rsidP="008062D0">
      <w:pPr>
        <w:rPr>
          <w:sz w:val="24"/>
          <w:szCs w:val="24"/>
        </w:rPr>
      </w:pPr>
    </w:p>
    <w:p w:rsidR="008062D0" w:rsidRDefault="008062D0" w:rsidP="008062D0">
      <w:pPr>
        <w:rPr>
          <w:sz w:val="24"/>
          <w:szCs w:val="24"/>
        </w:rPr>
      </w:pPr>
    </w:p>
    <w:p w:rsidR="008062D0" w:rsidRDefault="008062D0" w:rsidP="008062D0">
      <w:pPr>
        <w:rPr>
          <w:sz w:val="24"/>
          <w:szCs w:val="24"/>
        </w:rPr>
      </w:pPr>
    </w:p>
    <w:p w:rsidR="008062D0" w:rsidRDefault="008062D0" w:rsidP="008062D0">
      <w:pPr>
        <w:rPr>
          <w:sz w:val="24"/>
          <w:szCs w:val="24"/>
        </w:rPr>
      </w:pPr>
    </w:p>
    <w:p w:rsidR="008062D0" w:rsidRPr="0069492D" w:rsidRDefault="008062D0" w:rsidP="0069492D">
      <w:pPr>
        <w:jc w:val="center"/>
        <w:rPr>
          <w:rFonts w:ascii="Times New Roman" w:hAnsi="Times New Roman" w:cs="Times New Roman"/>
          <w:b/>
          <w:sz w:val="32"/>
          <w:szCs w:val="32"/>
        </w:rPr>
      </w:pPr>
      <w:r w:rsidRPr="0069492D">
        <w:rPr>
          <w:rFonts w:ascii="Times New Roman" w:hAnsi="Times New Roman" w:cs="Times New Roman"/>
          <w:b/>
          <w:sz w:val="32"/>
          <w:szCs w:val="32"/>
        </w:rPr>
        <w:t>Investment Policy Statement</w:t>
      </w:r>
    </w:p>
    <w:p w:rsidR="008062D0" w:rsidRPr="0069492D" w:rsidRDefault="008062D0" w:rsidP="0069492D">
      <w:pPr>
        <w:jc w:val="center"/>
        <w:rPr>
          <w:rFonts w:ascii="Times New Roman" w:hAnsi="Times New Roman" w:cs="Times New Roman"/>
          <w:b/>
          <w:sz w:val="32"/>
          <w:szCs w:val="32"/>
        </w:rPr>
      </w:pPr>
      <w:r w:rsidRPr="0069492D">
        <w:rPr>
          <w:rFonts w:ascii="Times New Roman" w:hAnsi="Times New Roman" w:cs="Times New Roman"/>
          <w:b/>
          <w:sz w:val="32"/>
          <w:szCs w:val="32"/>
        </w:rPr>
        <w:t>for The Jackson Symphony</w:t>
      </w:r>
    </w:p>
    <w:p w:rsidR="008062D0" w:rsidRPr="0069492D" w:rsidRDefault="00E511AB" w:rsidP="0069492D">
      <w:pPr>
        <w:jc w:val="center"/>
        <w:rPr>
          <w:rFonts w:ascii="Times New Roman" w:hAnsi="Times New Roman" w:cs="Times New Roman"/>
          <w:b/>
          <w:sz w:val="32"/>
          <w:szCs w:val="32"/>
        </w:rPr>
      </w:pPr>
      <w:r>
        <w:rPr>
          <w:rFonts w:ascii="Times New Roman" w:hAnsi="Times New Roman" w:cs="Times New Roman"/>
          <w:b/>
          <w:sz w:val="32"/>
          <w:szCs w:val="32"/>
        </w:rPr>
        <w:t xml:space="preserve">Endowment </w:t>
      </w:r>
    </w:p>
    <w:p w:rsidR="008062D0" w:rsidRDefault="008062D0" w:rsidP="008062D0">
      <w:pPr>
        <w:rPr>
          <w:sz w:val="24"/>
          <w:szCs w:val="24"/>
        </w:rPr>
      </w:pPr>
    </w:p>
    <w:p w:rsidR="008062D0" w:rsidRPr="0069492D" w:rsidRDefault="008062D0" w:rsidP="008062D0">
      <w:pPr>
        <w:rPr>
          <w:b/>
          <w:sz w:val="24"/>
          <w:szCs w:val="24"/>
        </w:rPr>
      </w:pPr>
      <w:r w:rsidRPr="0069492D">
        <w:rPr>
          <w:b/>
          <w:sz w:val="24"/>
          <w:szCs w:val="24"/>
        </w:rPr>
        <w:t>Purpose:</w:t>
      </w:r>
    </w:p>
    <w:p w:rsidR="008062D0" w:rsidRDefault="008062D0" w:rsidP="008062D0">
      <w:pPr>
        <w:rPr>
          <w:sz w:val="24"/>
          <w:szCs w:val="24"/>
        </w:rPr>
      </w:pPr>
      <w:r>
        <w:rPr>
          <w:sz w:val="24"/>
          <w:szCs w:val="24"/>
        </w:rPr>
        <w:t xml:space="preserve">The purpose of this document is to set </w:t>
      </w:r>
      <w:r w:rsidR="006A2CC6">
        <w:rPr>
          <w:sz w:val="24"/>
          <w:szCs w:val="24"/>
        </w:rPr>
        <w:t xml:space="preserve">the </w:t>
      </w:r>
      <w:bookmarkStart w:id="0" w:name="_GoBack"/>
      <w:bookmarkEnd w:id="0"/>
      <w:r>
        <w:rPr>
          <w:sz w:val="24"/>
          <w:szCs w:val="24"/>
        </w:rPr>
        <w:t xml:space="preserve">policies and procedures governing the investment of the funds of The Jackson </w:t>
      </w:r>
      <w:r w:rsidR="0069492D">
        <w:rPr>
          <w:sz w:val="24"/>
          <w:szCs w:val="24"/>
        </w:rPr>
        <w:t>Symphony</w:t>
      </w:r>
      <w:r>
        <w:rPr>
          <w:sz w:val="24"/>
          <w:szCs w:val="24"/>
        </w:rPr>
        <w:t xml:space="preserve"> Association, herein referred to as “Endowment”, whether </w:t>
      </w:r>
      <w:r w:rsidR="0069492D">
        <w:rPr>
          <w:sz w:val="24"/>
          <w:szCs w:val="24"/>
        </w:rPr>
        <w:t>in debt</w:t>
      </w:r>
      <w:r>
        <w:rPr>
          <w:sz w:val="24"/>
          <w:szCs w:val="24"/>
        </w:rPr>
        <w:t xml:space="preserve"> or equity, to maximize funds available for the accomplishment of the mission of the Jackson Symphony Association, herein referred to as “Symphony”. The investment of these funds shall be performed in a manner consistent with the preservation </w:t>
      </w:r>
      <w:r w:rsidR="0069492D">
        <w:rPr>
          <w:sz w:val="24"/>
          <w:szCs w:val="24"/>
        </w:rPr>
        <w:t>of</w:t>
      </w:r>
      <w:r>
        <w:rPr>
          <w:sz w:val="24"/>
          <w:szCs w:val="24"/>
        </w:rPr>
        <w:t xml:space="preserve"> capital, the preservation and growth of purchasing power, and the performance of the mission of the </w:t>
      </w:r>
      <w:r w:rsidR="0069492D">
        <w:rPr>
          <w:sz w:val="24"/>
          <w:szCs w:val="24"/>
        </w:rPr>
        <w:t>Endowment</w:t>
      </w:r>
      <w:r>
        <w:rPr>
          <w:sz w:val="24"/>
          <w:szCs w:val="24"/>
        </w:rPr>
        <w:t xml:space="preserve"> as defined by the Board. </w:t>
      </w:r>
    </w:p>
    <w:p w:rsidR="008062D0" w:rsidRDefault="008062D0" w:rsidP="008062D0">
      <w:pPr>
        <w:rPr>
          <w:sz w:val="24"/>
          <w:szCs w:val="24"/>
        </w:rPr>
      </w:pPr>
      <w:r>
        <w:rPr>
          <w:sz w:val="24"/>
          <w:szCs w:val="24"/>
        </w:rPr>
        <w:t xml:space="preserve">These policies and procedures </w:t>
      </w:r>
      <w:r w:rsidR="0069492D">
        <w:rPr>
          <w:sz w:val="24"/>
          <w:szCs w:val="24"/>
        </w:rPr>
        <w:t>will</w:t>
      </w:r>
      <w:r>
        <w:rPr>
          <w:sz w:val="24"/>
          <w:szCs w:val="24"/>
        </w:rPr>
        <w:t xml:space="preserve"> also serve to educate, direct and define the </w:t>
      </w:r>
      <w:r w:rsidR="0069492D">
        <w:rPr>
          <w:sz w:val="24"/>
          <w:szCs w:val="24"/>
        </w:rPr>
        <w:t>parameters</w:t>
      </w:r>
      <w:r>
        <w:rPr>
          <w:sz w:val="24"/>
          <w:szCs w:val="24"/>
        </w:rPr>
        <w:t xml:space="preserve"> for investment managers directed by the Symphony and to authorize the appropriate committees and/or employees to invest funds </w:t>
      </w:r>
      <w:r w:rsidR="0069492D">
        <w:rPr>
          <w:sz w:val="24"/>
          <w:szCs w:val="24"/>
        </w:rPr>
        <w:t>consistent</w:t>
      </w:r>
      <w:r>
        <w:rPr>
          <w:sz w:val="24"/>
          <w:szCs w:val="24"/>
        </w:rPr>
        <w:t xml:space="preserve"> </w:t>
      </w:r>
      <w:r w:rsidR="0069492D">
        <w:rPr>
          <w:sz w:val="24"/>
          <w:szCs w:val="24"/>
        </w:rPr>
        <w:t>with</w:t>
      </w:r>
      <w:r>
        <w:rPr>
          <w:sz w:val="24"/>
          <w:szCs w:val="24"/>
        </w:rPr>
        <w:t xml:space="preserve"> the provisions herein. </w:t>
      </w:r>
    </w:p>
    <w:p w:rsidR="008062D0" w:rsidRPr="0069492D" w:rsidRDefault="008062D0" w:rsidP="008062D0">
      <w:pPr>
        <w:rPr>
          <w:b/>
          <w:sz w:val="24"/>
          <w:szCs w:val="24"/>
        </w:rPr>
      </w:pPr>
      <w:r w:rsidRPr="0069492D">
        <w:rPr>
          <w:b/>
          <w:sz w:val="24"/>
          <w:szCs w:val="24"/>
        </w:rPr>
        <w:t>Standard of Care:</w:t>
      </w:r>
    </w:p>
    <w:p w:rsidR="008062D0" w:rsidRDefault="008062D0" w:rsidP="008062D0">
      <w:pPr>
        <w:rPr>
          <w:sz w:val="24"/>
          <w:szCs w:val="24"/>
        </w:rPr>
      </w:pPr>
      <w:r>
        <w:rPr>
          <w:sz w:val="24"/>
          <w:szCs w:val="24"/>
        </w:rPr>
        <w:t xml:space="preserve">To use the </w:t>
      </w:r>
      <w:r w:rsidR="0069492D">
        <w:rPr>
          <w:sz w:val="24"/>
          <w:szCs w:val="24"/>
        </w:rPr>
        <w:t>area</w:t>
      </w:r>
      <w:r>
        <w:rPr>
          <w:sz w:val="24"/>
          <w:szCs w:val="24"/>
        </w:rPr>
        <w:t xml:space="preserve">, skill, prudence, and diligence under the circumstances then prevailing that a prudent person acting in a like capacity and familiar with such matters would use in the conduct of an enterprise of a like character and wit like aims. </w:t>
      </w:r>
    </w:p>
    <w:p w:rsidR="008062D0" w:rsidRPr="0069492D" w:rsidRDefault="008062D0" w:rsidP="008062D0">
      <w:pPr>
        <w:rPr>
          <w:b/>
          <w:sz w:val="24"/>
          <w:szCs w:val="24"/>
        </w:rPr>
      </w:pPr>
      <w:r w:rsidRPr="0069492D">
        <w:rPr>
          <w:b/>
          <w:sz w:val="24"/>
          <w:szCs w:val="24"/>
        </w:rPr>
        <w:t xml:space="preserve">Supervisions: </w:t>
      </w:r>
    </w:p>
    <w:p w:rsidR="008062D0" w:rsidRDefault="008062D0" w:rsidP="008062D0">
      <w:pPr>
        <w:rPr>
          <w:sz w:val="24"/>
          <w:szCs w:val="24"/>
        </w:rPr>
      </w:pPr>
      <w:r>
        <w:rPr>
          <w:sz w:val="24"/>
          <w:szCs w:val="24"/>
        </w:rPr>
        <w:t xml:space="preserve">The Board will maintain and review the investment policies and objectives of the Symphony, established procedures for handling the receipts, transfers, </w:t>
      </w:r>
      <w:r w:rsidR="0069492D">
        <w:rPr>
          <w:sz w:val="24"/>
          <w:szCs w:val="24"/>
        </w:rPr>
        <w:t>safekeeping</w:t>
      </w:r>
      <w:r>
        <w:rPr>
          <w:sz w:val="24"/>
          <w:szCs w:val="24"/>
        </w:rPr>
        <w:t xml:space="preserve"> and safeguarding of </w:t>
      </w:r>
      <w:r w:rsidR="0069492D">
        <w:rPr>
          <w:sz w:val="24"/>
          <w:szCs w:val="24"/>
        </w:rPr>
        <w:t>assets</w:t>
      </w:r>
      <w:r>
        <w:rPr>
          <w:sz w:val="24"/>
          <w:szCs w:val="24"/>
        </w:rPr>
        <w:t xml:space="preserve">, approve all changes or </w:t>
      </w:r>
      <w:r w:rsidR="0069492D">
        <w:rPr>
          <w:sz w:val="24"/>
          <w:szCs w:val="24"/>
        </w:rPr>
        <w:t>amendments</w:t>
      </w:r>
      <w:r>
        <w:rPr>
          <w:sz w:val="24"/>
          <w:szCs w:val="24"/>
        </w:rPr>
        <w:t xml:space="preserve"> to the Investment Policy, and delegate certain duties and </w:t>
      </w:r>
      <w:r w:rsidR="0069492D">
        <w:rPr>
          <w:sz w:val="24"/>
          <w:szCs w:val="24"/>
        </w:rPr>
        <w:t>responsibilities</w:t>
      </w:r>
      <w:r>
        <w:rPr>
          <w:sz w:val="24"/>
          <w:szCs w:val="24"/>
        </w:rPr>
        <w:t xml:space="preserve"> as they see fit. </w:t>
      </w:r>
    </w:p>
    <w:p w:rsidR="008062D0" w:rsidRDefault="0069492D" w:rsidP="008062D0">
      <w:pPr>
        <w:rPr>
          <w:sz w:val="24"/>
          <w:szCs w:val="24"/>
        </w:rPr>
      </w:pPr>
      <w:r>
        <w:rPr>
          <w:sz w:val="24"/>
          <w:szCs w:val="24"/>
        </w:rPr>
        <w:t>The appointed representative</w:t>
      </w:r>
      <w:r w:rsidR="008062D0">
        <w:rPr>
          <w:sz w:val="24"/>
          <w:szCs w:val="24"/>
        </w:rPr>
        <w:t xml:space="preserve"> of the Symphony, </w:t>
      </w:r>
      <w:r>
        <w:rPr>
          <w:sz w:val="24"/>
          <w:szCs w:val="24"/>
        </w:rPr>
        <w:t>herein</w:t>
      </w:r>
      <w:r w:rsidR="008062D0">
        <w:rPr>
          <w:sz w:val="24"/>
          <w:szCs w:val="24"/>
        </w:rPr>
        <w:t xml:space="preserve"> referred to as “</w:t>
      </w:r>
      <w:r>
        <w:rPr>
          <w:sz w:val="24"/>
          <w:szCs w:val="24"/>
        </w:rPr>
        <w:t>Representative</w:t>
      </w:r>
      <w:r w:rsidR="008062D0">
        <w:rPr>
          <w:sz w:val="24"/>
          <w:szCs w:val="24"/>
        </w:rPr>
        <w:t xml:space="preserve">”, will review the investment accounts </w:t>
      </w:r>
      <w:r>
        <w:rPr>
          <w:sz w:val="24"/>
          <w:szCs w:val="24"/>
        </w:rPr>
        <w:t>with</w:t>
      </w:r>
      <w:r w:rsidR="008062D0">
        <w:rPr>
          <w:sz w:val="24"/>
          <w:szCs w:val="24"/>
        </w:rPr>
        <w:t xml:space="preserve"> the Endowment Committee, as designated by the Board on a monthly schedule and report to the full Board not less than quarterly. </w:t>
      </w:r>
    </w:p>
    <w:p w:rsidR="008062D0" w:rsidRPr="0069492D" w:rsidRDefault="008062D0" w:rsidP="008062D0">
      <w:pPr>
        <w:rPr>
          <w:b/>
          <w:sz w:val="24"/>
          <w:szCs w:val="24"/>
        </w:rPr>
      </w:pPr>
      <w:r w:rsidRPr="0069492D">
        <w:rPr>
          <w:b/>
          <w:sz w:val="24"/>
          <w:szCs w:val="24"/>
        </w:rPr>
        <w:t>Receipting of Funds:</w:t>
      </w:r>
    </w:p>
    <w:p w:rsidR="008062D0" w:rsidRDefault="008062D0" w:rsidP="008062D0">
      <w:pPr>
        <w:rPr>
          <w:sz w:val="24"/>
          <w:szCs w:val="24"/>
        </w:rPr>
      </w:pPr>
      <w:r>
        <w:rPr>
          <w:sz w:val="24"/>
          <w:szCs w:val="24"/>
        </w:rPr>
        <w:t xml:space="preserve">At the time a donation is received by the Symphony, funds will be deposited into the operating account and designated to the Endowment Funds. These funds will be moved into the endowment account in a timely manner. </w:t>
      </w:r>
    </w:p>
    <w:p w:rsidR="0069492D" w:rsidRDefault="0069492D" w:rsidP="008062D0">
      <w:pPr>
        <w:rPr>
          <w:b/>
          <w:sz w:val="24"/>
          <w:szCs w:val="24"/>
        </w:rPr>
      </w:pPr>
    </w:p>
    <w:p w:rsidR="008062D0" w:rsidRPr="0069492D" w:rsidRDefault="008062D0" w:rsidP="008062D0">
      <w:pPr>
        <w:rPr>
          <w:b/>
          <w:sz w:val="24"/>
          <w:szCs w:val="24"/>
        </w:rPr>
      </w:pPr>
      <w:r w:rsidRPr="0069492D">
        <w:rPr>
          <w:b/>
          <w:sz w:val="24"/>
          <w:szCs w:val="24"/>
        </w:rPr>
        <w:t xml:space="preserve">Investment Policy Elements: </w:t>
      </w:r>
    </w:p>
    <w:p w:rsidR="008062D0" w:rsidRDefault="008062D0" w:rsidP="008062D0">
      <w:pPr>
        <w:rPr>
          <w:sz w:val="24"/>
          <w:szCs w:val="24"/>
        </w:rPr>
      </w:pPr>
      <w:r>
        <w:rPr>
          <w:sz w:val="24"/>
          <w:szCs w:val="24"/>
        </w:rPr>
        <w:t xml:space="preserve">The principle elements of this policy are assert allocations, performance </w:t>
      </w:r>
      <w:r w:rsidR="0069492D">
        <w:rPr>
          <w:sz w:val="24"/>
          <w:szCs w:val="24"/>
        </w:rPr>
        <w:t>standards</w:t>
      </w:r>
      <w:r>
        <w:rPr>
          <w:sz w:val="24"/>
          <w:szCs w:val="24"/>
        </w:rPr>
        <w:t xml:space="preserve">, and security procedures. This policy allocates investments into three time horizons: 1) Short Term, 2) </w:t>
      </w:r>
      <w:r w:rsidR="0069492D">
        <w:rPr>
          <w:sz w:val="24"/>
          <w:szCs w:val="24"/>
        </w:rPr>
        <w:t>Intermediate</w:t>
      </w:r>
      <w:r>
        <w:rPr>
          <w:sz w:val="24"/>
          <w:szCs w:val="24"/>
        </w:rPr>
        <w:t xml:space="preserve">, </w:t>
      </w:r>
      <w:r w:rsidR="0069492D">
        <w:rPr>
          <w:sz w:val="24"/>
          <w:szCs w:val="24"/>
        </w:rPr>
        <w:t>and 3</w:t>
      </w:r>
      <w:r>
        <w:rPr>
          <w:sz w:val="24"/>
          <w:szCs w:val="24"/>
        </w:rPr>
        <w:t xml:space="preserve">) </w:t>
      </w:r>
      <w:r w:rsidR="0069492D">
        <w:rPr>
          <w:sz w:val="24"/>
          <w:szCs w:val="24"/>
        </w:rPr>
        <w:t>Long</w:t>
      </w:r>
      <w:r>
        <w:rPr>
          <w:sz w:val="24"/>
          <w:szCs w:val="24"/>
        </w:rPr>
        <w:t xml:space="preserve"> Term according to </w:t>
      </w:r>
      <w:r w:rsidR="00843C7F">
        <w:rPr>
          <w:sz w:val="24"/>
          <w:szCs w:val="24"/>
        </w:rPr>
        <w:t xml:space="preserve">the funding needs of the Endowment. These time horizons are intended to provide </w:t>
      </w:r>
      <w:r w:rsidR="0069492D">
        <w:rPr>
          <w:sz w:val="24"/>
          <w:szCs w:val="24"/>
        </w:rPr>
        <w:t>general</w:t>
      </w:r>
      <w:r w:rsidR="00843C7F">
        <w:rPr>
          <w:sz w:val="24"/>
          <w:szCs w:val="24"/>
        </w:rPr>
        <w:t xml:space="preserve"> guidelines and </w:t>
      </w:r>
      <w:r w:rsidR="0069492D">
        <w:rPr>
          <w:sz w:val="24"/>
          <w:szCs w:val="24"/>
        </w:rPr>
        <w:t>restrictions</w:t>
      </w:r>
      <w:r w:rsidR="00843C7F">
        <w:rPr>
          <w:sz w:val="24"/>
          <w:szCs w:val="24"/>
        </w:rPr>
        <w:t xml:space="preserve"> for investment </w:t>
      </w:r>
      <w:r w:rsidR="0069492D">
        <w:rPr>
          <w:sz w:val="24"/>
          <w:szCs w:val="24"/>
        </w:rPr>
        <w:t>managers</w:t>
      </w:r>
      <w:r w:rsidR="00843C7F">
        <w:rPr>
          <w:sz w:val="24"/>
          <w:szCs w:val="24"/>
        </w:rPr>
        <w:t xml:space="preserve"> implementing these various portfolio strategies. Individual securities described within each horizon are not specifically approved or intended but are listed for explanatory purposes only. </w:t>
      </w:r>
    </w:p>
    <w:p w:rsidR="00843C7F" w:rsidRDefault="00843C7F" w:rsidP="008062D0">
      <w:pPr>
        <w:rPr>
          <w:sz w:val="24"/>
          <w:szCs w:val="24"/>
        </w:rPr>
      </w:pPr>
      <w:r>
        <w:rPr>
          <w:sz w:val="24"/>
          <w:szCs w:val="24"/>
        </w:rPr>
        <w:t xml:space="preserve">The </w:t>
      </w:r>
      <w:r w:rsidR="0069492D">
        <w:rPr>
          <w:sz w:val="24"/>
          <w:szCs w:val="24"/>
        </w:rPr>
        <w:t>assets</w:t>
      </w:r>
      <w:r>
        <w:rPr>
          <w:sz w:val="24"/>
          <w:szCs w:val="24"/>
        </w:rPr>
        <w:t xml:space="preserve"> allocated to the “Short Term” horizon should be sufficient to supplement occasional operating needs of the Endowment. The operating account may experience funding needs that “Short Term” funds </w:t>
      </w:r>
      <w:r w:rsidR="0069492D">
        <w:rPr>
          <w:sz w:val="24"/>
          <w:szCs w:val="24"/>
        </w:rPr>
        <w:t>can</w:t>
      </w:r>
      <w:r>
        <w:rPr>
          <w:sz w:val="24"/>
          <w:szCs w:val="24"/>
        </w:rPr>
        <w:t xml:space="preserve"> provide. “Intermediate” and “Long Term” include funds that will not be needed for liquidity thereby permitting a longer investment horizon and consequently higher yields. The Board in consultation </w:t>
      </w:r>
      <w:r w:rsidR="0069492D">
        <w:rPr>
          <w:sz w:val="24"/>
          <w:szCs w:val="24"/>
        </w:rPr>
        <w:t>with</w:t>
      </w:r>
      <w:r>
        <w:rPr>
          <w:sz w:val="24"/>
          <w:szCs w:val="24"/>
        </w:rPr>
        <w:t xml:space="preserve"> the Endowment Committee will determine the amount of funds </w:t>
      </w:r>
      <w:r w:rsidR="0069492D">
        <w:rPr>
          <w:sz w:val="24"/>
          <w:szCs w:val="24"/>
        </w:rPr>
        <w:t>allocated</w:t>
      </w:r>
      <w:r>
        <w:rPr>
          <w:sz w:val="24"/>
          <w:szCs w:val="24"/>
        </w:rPr>
        <w:t xml:space="preserve"> to each horizon. Suggested </w:t>
      </w:r>
      <w:r w:rsidR="0069492D">
        <w:rPr>
          <w:sz w:val="24"/>
          <w:szCs w:val="24"/>
        </w:rPr>
        <w:t>guidelines</w:t>
      </w:r>
      <w:r>
        <w:rPr>
          <w:sz w:val="24"/>
          <w:szCs w:val="24"/>
        </w:rPr>
        <w:t xml:space="preserve"> for each horizon are: </w:t>
      </w:r>
    </w:p>
    <w:p w:rsidR="00843C7F" w:rsidRDefault="00843C7F" w:rsidP="00843C7F">
      <w:pPr>
        <w:pStyle w:val="ListParagraph"/>
        <w:numPr>
          <w:ilvl w:val="0"/>
          <w:numId w:val="1"/>
        </w:numPr>
        <w:rPr>
          <w:sz w:val="24"/>
          <w:szCs w:val="24"/>
        </w:rPr>
      </w:pPr>
      <w:r>
        <w:rPr>
          <w:sz w:val="24"/>
          <w:szCs w:val="24"/>
        </w:rPr>
        <w:t xml:space="preserve">Short </w:t>
      </w:r>
      <w:r w:rsidR="0069492D">
        <w:rPr>
          <w:sz w:val="24"/>
          <w:szCs w:val="24"/>
        </w:rPr>
        <w:t>Term</w:t>
      </w:r>
      <w:r>
        <w:rPr>
          <w:sz w:val="24"/>
          <w:szCs w:val="24"/>
        </w:rPr>
        <w:t xml:space="preserve"> – Less </w:t>
      </w:r>
      <w:r w:rsidR="0069492D">
        <w:rPr>
          <w:sz w:val="24"/>
          <w:szCs w:val="24"/>
        </w:rPr>
        <w:t>than</w:t>
      </w:r>
      <w:r>
        <w:rPr>
          <w:sz w:val="24"/>
          <w:szCs w:val="24"/>
        </w:rPr>
        <w:t xml:space="preserve"> 2 years</w:t>
      </w:r>
    </w:p>
    <w:p w:rsidR="00843C7F" w:rsidRDefault="00843C7F" w:rsidP="00843C7F">
      <w:pPr>
        <w:pStyle w:val="ListParagraph"/>
        <w:numPr>
          <w:ilvl w:val="0"/>
          <w:numId w:val="1"/>
        </w:numPr>
        <w:rPr>
          <w:sz w:val="24"/>
          <w:szCs w:val="24"/>
        </w:rPr>
      </w:pPr>
      <w:r>
        <w:rPr>
          <w:sz w:val="24"/>
          <w:szCs w:val="24"/>
        </w:rPr>
        <w:t>Intermediate – 2 years to 5 years</w:t>
      </w:r>
    </w:p>
    <w:p w:rsidR="00843C7F" w:rsidRDefault="00843C7F" w:rsidP="00843C7F">
      <w:pPr>
        <w:pStyle w:val="ListParagraph"/>
        <w:numPr>
          <w:ilvl w:val="0"/>
          <w:numId w:val="1"/>
        </w:numPr>
        <w:rPr>
          <w:sz w:val="24"/>
          <w:szCs w:val="24"/>
        </w:rPr>
      </w:pPr>
      <w:r>
        <w:rPr>
          <w:sz w:val="24"/>
          <w:szCs w:val="24"/>
        </w:rPr>
        <w:t>Long Term – 5 years or greater</w:t>
      </w:r>
    </w:p>
    <w:p w:rsidR="00843C7F" w:rsidRDefault="00843C7F" w:rsidP="00843C7F">
      <w:pPr>
        <w:rPr>
          <w:sz w:val="24"/>
          <w:szCs w:val="24"/>
        </w:rPr>
      </w:pPr>
      <w:r>
        <w:rPr>
          <w:sz w:val="24"/>
          <w:szCs w:val="24"/>
        </w:rPr>
        <w:t xml:space="preserve">With regard to the portfolio mix guidelines referred to </w:t>
      </w:r>
      <w:r w:rsidR="0069492D">
        <w:rPr>
          <w:sz w:val="24"/>
          <w:szCs w:val="24"/>
        </w:rPr>
        <w:t>hereafter</w:t>
      </w:r>
      <w:r>
        <w:rPr>
          <w:sz w:val="24"/>
          <w:szCs w:val="24"/>
        </w:rPr>
        <w:t xml:space="preserve">, outside investment managers shall be permitted to change the allocation mix in response to market conditions </w:t>
      </w:r>
      <w:r w:rsidR="0069492D">
        <w:rPr>
          <w:sz w:val="24"/>
          <w:szCs w:val="24"/>
        </w:rPr>
        <w:t>only</w:t>
      </w:r>
      <w:r>
        <w:rPr>
          <w:sz w:val="24"/>
          <w:szCs w:val="24"/>
        </w:rPr>
        <w:t xml:space="preserve"> after approval by Endowment Committee and/or the Board. </w:t>
      </w:r>
    </w:p>
    <w:p w:rsidR="00843C7F" w:rsidRPr="0069492D" w:rsidRDefault="00843C7F" w:rsidP="00843C7F">
      <w:pPr>
        <w:rPr>
          <w:b/>
          <w:sz w:val="24"/>
          <w:szCs w:val="24"/>
        </w:rPr>
      </w:pPr>
      <w:r w:rsidRPr="0069492D">
        <w:rPr>
          <w:b/>
          <w:sz w:val="24"/>
          <w:szCs w:val="24"/>
        </w:rPr>
        <w:t>Fund Specific Policies:</w:t>
      </w:r>
    </w:p>
    <w:p w:rsidR="00843C7F" w:rsidRDefault="00843C7F" w:rsidP="00843C7F">
      <w:pPr>
        <w:rPr>
          <w:sz w:val="24"/>
          <w:szCs w:val="24"/>
        </w:rPr>
      </w:pPr>
      <w:r>
        <w:rPr>
          <w:sz w:val="24"/>
          <w:szCs w:val="24"/>
        </w:rPr>
        <w:t xml:space="preserve">Attached to this document are separate guidelines for each investment fund. Each policy will </w:t>
      </w:r>
      <w:r w:rsidR="0069492D">
        <w:rPr>
          <w:sz w:val="24"/>
          <w:szCs w:val="24"/>
        </w:rPr>
        <w:t>identify</w:t>
      </w:r>
      <w:r>
        <w:rPr>
          <w:sz w:val="24"/>
          <w:szCs w:val="24"/>
        </w:rPr>
        <w:t xml:space="preserve"> and define:</w:t>
      </w:r>
    </w:p>
    <w:p w:rsidR="00843C7F" w:rsidRDefault="00843C7F" w:rsidP="00843C7F">
      <w:pPr>
        <w:pStyle w:val="ListParagraph"/>
        <w:numPr>
          <w:ilvl w:val="0"/>
          <w:numId w:val="2"/>
        </w:numPr>
        <w:rPr>
          <w:sz w:val="24"/>
          <w:szCs w:val="24"/>
        </w:rPr>
      </w:pPr>
      <w:r>
        <w:rPr>
          <w:sz w:val="24"/>
          <w:szCs w:val="24"/>
        </w:rPr>
        <w:t>The investment obligation, including its purpose</w:t>
      </w:r>
    </w:p>
    <w:p w:rsidR="00843C7F" w:rsidRDefault="00843C7F" w:rsidP="00843C7F">
      <w:pPr>
        <w:pStyle w:val="ListParagraph"/>
        <w:numPr>
          <w:ilvl w:val="0"/>
          <w:numId w:val="2"/>
        </w:numPr>
        <w:rPr>
          <w:sz w:val="24"/>
          <w:szCs w:val="24"/>
        </w:rPr>
      </w:pPr>
      <w:r>
        <w:rPr>
          <w:sz w:val="24"/>
          <w:szCs w:val="24"/>
        </w:rPr>
        <w:t>Return objective</w:t>
      </w:r>
    </w:p>
    <w:p w:rsidR="00843C7F" w:rsidRDefault="00843C7F" w:rsidP="00843C7F">
      <w:pPr>
        <w:pStyle w:val="ListParagraph"/>
        <w:numPr>
          <w:ilvl w:val="0"/>
          <w:numId w:val="2"/>
        </w:numPr>
        <w:rPr>
          <w:sz w:val="24"/>
          <w:szCs w:val="24"/>
        </w:rPr>
      </w:pPr>
      <w:r>
        <w:rPr>
          <w:sz w:val="24"/>
          <w:szCs w:val="24"/>
        </w:rPr>
        <w:t>Risk factors</w:t>
      </w:r>
    </w:p>
    <w:p w:rsidR="00843C7F" w:rsidRDefault="00843C7F" w:rsidP="00843C7F">
      <w:pPr>
        <w:pStyle w:val="ListParagraph"/>
        <w:numPr>
          <w:ilvl w:val="0"/>
          <w:numId w:val="2"/>
        </w:numPr>
        <w:rPr>
          <w:sz w:val="24"/>
          <w:szCs w:val="24"/>
        </w:rPr>
      </w:pPr>
      <w:r>
        <w:rPr>
          <w:sz w:val="24"/>
          <w:szCs w:val="24"/>
        </w:rPr>
        <w:t>Appropriate investment categories, asset allocation targets, broad quality constraints and maturity targets</w:t>
      </w:r>
    </w:p>
    <w:p w:rsidR="00843C7F" w:rsidRDefault="0069492D" w:rsidP="00843C7F">
      <w:pPr>
        <w:pStyle w:val="ListParagraph"/>
        <w:numPr>
          <w:ilvl w:val="0"/>
          <w:numId w:val="2"/>
        </w:numPr>
        <w:rPr>
          <w:sz w:val="24"/>
          <w:szCs w:val="24"/>
        </w:rPr>
      </w:pPr>
      <w:r>
        <w:rPr>
          <w:sz w:val="24"/>
          <w:szCs w:val="24"/>
        </w:rPr>
        <w:t>Liquidity</w:t>
      </w:r>
      <w:r w:rsidR="00843C7F">
        <w:rPr>
          <w:sz w:val="24"/>
          <w:szCs w:val="24"/>
        </w:rPr>
        <w:t xml:space="preserve"> constraints</w:t>
      </w:r>
    </w:p>
    <w:p w:rsidR="00843C7F" w:rsidRDefault="00843C7F" w:rsidP="00843C7F">
      <w:pPr>
        <w:pStyle w:val="ListParagraph"/>
        <w:numPr>
          <w:ilvl w:val="0"/>
          <w:numId w:val="2"/>
        </w:numPr>
        <w:rPr>
          <w:sz w:val="24"/>
          <w:szCs w:val="24"/>
        </w:rPr>
      </w:pPr>
      <w:r>
        <w:rPr>
          <w:sz w:val="24"/>
          <w:szCs w:val="24"/>
        </w:rPr>
        <w:t>Market value fluctuation tolerance</w:t>
      </w:r>
    </w:p>
    <w:p w:rsidR="00843C7F" w:rsidRPr="0069492D" w:rsidRDefault="00843C7F" w:rsidP="00843C7F">
      <w:pPr>
        <w:rPr>
          <w:b/>
          <w:sz w:val="24"/>
          <w:szCs w:val="24"/>
        </w:rPr>
      </w:pPr>
      <w:r w:rsidRPr="0069492D">
        <w:rPr>
          <w:b/>
          <w:sz w:val="24"/>
          <w:szCs w:val="24"/>
        </w:rPr>
        <w:t>Fund Performance and Reporting:</w:t>
      </w:r>
    </w:p>
    <w:p w:rsidR="00843C7F" w:rsidRDefault="00843C7F" w:rsidP="00843C7F">
      <w:pPr>
        <w:rPr>
          <w:sz w:val="24"/>
          <w:szCs w:val="24"/>
        </w:rPr>
      </w:pPr>
      <w:r>
        <w:rPr>
          <w:sz w:val="24"/>
          <w:szCs w:val="24"/>
        </w:rPr>
        <w:t xml:space="preserve">An overall total return objective is established by this policy for each investment </w:t>
      </w:r>
      <w:r w:rsidR="0069492D">
        <w:rPr>
          <w:sz w:val="24"/>
          <w:szCs w:val="24"/>
        </w:rPr>
        <w:t>account</w:t>
      </w:r>
      <w:r>
        <w:rPr>
          <w:sz w:val="24"/>
          <w:szCs w:val="24"/>
        </w:rPr>
        <w:t xml:space="preserve">. The returns will be compared with generally accepted </w:t>
      </w:r>
      <w:r w:rsidR="0069492D">
        <w:rPr>
          <w:sz w:val="24"/>
          <w:szCs w:val="24"/>
        </w:rPr>
        <w:t>indexes</w:t>
      </w:r>
      <w:r>
        <w:rPr>
          <w:sz w:val="24"/>
          <w:szCs w:val="24"/>
        </w:rPr>
        <w:t xml:space="preserve">, i.e., the Standard &amp; Poor’s 500, Barclay’s Bond Indexes, and MSCI EAFE stock indexes, and an index of </w:t>
      </w:r>
      <w:r w:rsidR="0069492D">
        <w:rPr>
          <w:sz w:val="24"/>
          <w:szCs w:val="24"/>
        </w:rPr>
        <w:t>90-day</w:t>
      </w:r>
      <w:r>
        <w:rPr>
          <w:sz w:val="24"/>
          <w:szCs w:val="24"/>
        </w:rPr>
        <w:t xml:space="preserve"> U. S. Treasury Bills. It is expected that investment managers will meet in person with the Endowment Committee at least annually and provide a written report at least quarterly to the Endowment </w:t>
      </w:r>
      <w:r>
        <w:rPr>
          <w:sz w:val="24"/>
          <w:szCs w:val="24"/>
        </w:rPr>
        <w:lastRenderedPageBreak/>
        <w:t>committee which will outline specific investments, their</w:t>
      </w:r>
      <w:r w:rsidR="0069200E">
        <w:rPr>
          <w:sz w:val="24"/>
          <w:szCs w:val="24"/>
        </w:rPr>
        <w:t xml:space="preserve"> returns calculated net of fees and costs. The quarterly report will also provide </w:t>
      </w:r>
      <w:r w:rsidR="0069492D">
        <w:rPr>
          <w:sz w:val="24"/>
          <w:szCs w:val="24"/>
        </w:rPr>
        <w:t>comparisons</w:t>
      </w:r>
      <w:r w:rsidR="0069200E">
        <w:rPr>
          <w:sz w:val="24"/>
          <w:szCs w:val="24"/>
        </w:rPr>
        <w:t xml:space="preserve"> with an appropriate benchmark composite index. </w:t>
      </w:r>
    </w:p>
    <w:p w:rsidR="0069200E" w:rsidRDefault="0069200E" w:rsidP="00843C7F">
      <w:pPr>
        <w:rPr>
          <w:sz w:val="24"/>
          <w:szCs w:val="24"/>
        </w:rPr>
      </w:pPr>
      <w:r>
        <w:rPr>
          <w:sz w:val="24"/>
          <w:szCs w:val="24"/>
        </w:rPr>
        <w:t xml:space="preserve">Annual and quarterly </w:t>
      </w:r>
      <w:r w:rsidR="0069492D">
        <w:rPr>
          <w:sz w:val="24"/>
          <w:szCs w:val="24"/>
        </w:rPr>
        <w:t>reports</w:t>
      </w:r>
      <w:r>
        <w:rPr>
          <w:sz w:val="24"/>
          <w:szCs w:val="24"/>
        </w:rPr>
        <w:t xml:space="preserve"> will also provide a detailed explanation of all fees, including but not limited to custodial fees, brokerage fees, investment management fees, and fees relating to mutual fund expenses. Any soft costs or other soft dollar </w:t>
      </w:r>
      <w:r w:rsidR="0069492D">
        <w:rPr>
          <w:sz w:val="24"/>
          <w:szCs w:val="24"/>
        </w:rPr>
        <w:t xml:space="preserve">arrangements </w:t>
      </w:r>
      <w:r>
        <w:rPr>
          <w:sz w:val="24"/>
          <w:szCs w:val="24"/>
        </w:rPr>
        <w:t xml:space="preserve">utilized by investment managers or other parties must be fully disclosed and approved in advance by the </w:t>
      </w:r>
      <w:r w:rsidR="0069492D">
        <w:rPr>
          <w:sz w:val="24"/>
          <w:szCs w:val="24"/>
        </w:rPr>
        <w:t>Endowment</w:t>
      </w:r>
      <w:r>
        <w:rPr>
          <w:sz w:val="24"/>
          <w:szCs w:val="24"/>
        </w:rPr>
        <w:t xml:space="preserve"> Committee. </w:t>
      </w:r>
    </w:p>
    <w:p w:rsidR="0069200E" w:rsidRPr="0069492D" w:rsidRDefault="0069200E" w:rsidP="00843C7F">
      <w:pPr>
        <w:rPr>
          <w:b/>
          <w:sz w:val="24"/>
          <w:szCs w:val="24"/>
        </w:rPr>
      </w:pPr>
      <w:r w:rsidRPr="0069492D">
        <w:rPr>
          <w:b/>
          <w:sz w:val="24"/>
          <w:szCs w:val="24"/>
        </w:rPr>
        <w:t>Custodial/Safekeeping</w:t>
      </w:r>
    </w:p>
    <w:p w:rsidR="0069200E" w:rsidRDefault="0069200E" w:rsidP="00843C7F">
      <w:pPr>
        <w:rPr>
          <w:sz w:val="24"/>
          <w:szCs w:val="24"/>
        </w:rPr>
      </w:pPr>
      <w:r>
        <w:rPr>
          <w:sz w:val="24"/>
          <w:szCs w:val="24"/>
        </w:rPr>
        <w:t xml:space="preserve">Custody of all securities shall be maintained by the Representative in a custodial account with a firm to be approved annually by the Endowment Committee. </w:t>
      </w:r>
    </w:p>
    <w:p w:rsidR="0069200E" w:rsidRPr="0069492D" w:rsidRDefault="0069200E" w:rsidP="00843C7F">
      <w:pPr>
        <w:rPr>
          <w:b/>
          <w:sz w:val="24"/>
          <w:szCs w:val="24"/>
        </w:rPr>
      </w:pPr>
      <w:r w:rsidRPr="0069492D">
        <w:rPr>
          <w:b/>
          <w:sz w:val="24"/>
          <w:szCs w:val="24"/>
        </w:rPr>
        <w:t xml:space="preserve">Investment </w:t>
      </w:r>
      <w:r w:rsidR="0069492D" w:rsidRPr="0069492D">
        <w:rPr>
          <w:b/>
          <w:sz w:val="24"/>
          <w:szCs w:val="24"/>
        </w:rPr>
        <w:t>Manager</w:t>
      </w:r>
      <w:r w:rsidRPr="0069492D">
        <w:rPr>
          <w:b/>
          <w:sz w:val="24"/>
          <w:szCs w:val="24"/>
        </w:rPr>
        <w:t xml:space="preserve"> Qualifications:</w:t>
      </w:r>
    </w:p>
    <w:p w:rsidR="0069200E" w:rsidRDefault="0069200E" w:rsidP="00843C7F">
      <w:pPr>
        <w:rPr>
          <w:sz w:val="24"/>
          <w:szCs w:val="24"/>
        </w:rPr>
      </w:pPr>
      <w:r>
        <w:rPr>
          <w:sz w:val="24"/>
          <w:szCs w:val="24"/>
        </w:rPr>
        <w:t xml:space="preserve">Investment managers employed by the Symphony shall be Registered Investment Advisor pursuant to the Securities Act of 1940, including any amendments, a bank or Trust company. </w:t>
      </w:r>
    </w:p>
    <w:p w:rsidR="0069200E" w:rsidRPr="0069492D" w:rsidRDefault="00CE6856" w:rsidP="0069492D">
      <w:pPr>
        <w:jc w:val="center"/>
        <w:rPr>
          <w:rFonts w:ascii="Times New Roman" w:hAnsi="Times New Roman" w:cs="Times New Roman"/>
          <w:b/>
          <w:sz w:val="24"/>
          <w:szCs w:val="24"/>
        </w:rPr>
      </w:pPr>
      <w:r w:rsidRPr="0069492D">
        <w:rPr>
          <w:rFonts w:ascii="Times New Roman" w:hAnsi="Times New Roman" w:cs="Times New Roman"/>
          <w:b/>
          <w:sz w:val="24"/>
          <w:szCs w:val="24"/>
        </w:rPr>
        <w:t>Short Term Horizon</w:t>
      </w:r>
    </w:p>
    <w:p w:rsidR="00CE6856" w:rsidRPr="0069492D" w:rsidRDefault="00CE6856" w:rsidP="00843C7F">
      <w:pPr>
        <w:rPr>
          <w:b/>
          <w:sz w:val="24"/>
          <w:szCs w:val="24"/>
        </w:rPr>
      </w:pPr>
      <w:r w:rsidRPr="0069492D">
        <w:rPr>
          <w:b/>
          <w:sz w:val="24"/>
          <w:szCs w:val="24"/>
        </w:rPr>
        <w:t xml:space="preserve">Purpose: </w:t>
      </w:r>
    </w:p>
    <w:p w:rsidR="00CE6856" w:rsidRDefault="00CE6856" w:rsidP="00843C7F">
      <w:pPr>
        <w:rPr>
          <w:sz w:val="24"/>
          <w:szCs w:val="24"/>
        </w:rPr>
      </w:pPr>
      <w:r>
        <w:rPr>
          <w:sz w:val="24"/>
          <w:szCs w:val="24"/>
        </w:rPr>
        <w:t xml:space="preserve">The investments in this horizon will seek returns in excess of a passive approach and provide liquidity for short term reserve funds. Capital preservation is paramount in this portfolio. </w:t>
      </w:r>
    </w:p>
    <w:p w:rsidR="00CE6856" w:rsidRPr="0069492D" w:rsidRDefault="00CE6856" w:rsidP="00843C7F">
      <w:pPr>
        <w:rPr>
          <w:b/>
          <w:sz w:val="24"/>
          <w:szCs w:val="24"/>
        </w:rPr>
      </w:pPr>
      <w:r w:rsidRPr="0069492D">
        <w:rPr>
          <w:b/>
          <w:sz w:val="24"/>
          <w:szCs w:val="24"/>
        </w:rPr>
        <w:t>Return Objective:</w:t>
      </w:r>
    </w:p>
    <w:p w:rsidR="00CE6856" w:rsidRDefault="00CE6856" w:rsidP="00843C7F">
      <w:pPr>
        <w:rPr>
          <w:sz w:val="24"/>
          <w:szCs w:val="24"/>
        </w:rPr>
      </w:pPr>
      <w:r>
        <w:rPr>
          <w:sz w:val="24"/>
          <w:szCs w:val="24"/>
        </w:rPr>
        <w:t xml:space="preserve">Performance of the fund will be measured against: </w:t>
      </w:r>
    </w:p>
    <w:p w:rsidR="00CE6856" w:rsidRDefault="0069492D" w:rsidP="00843C7F">
      <w:pPr>
        <w:rPr>
          <w:sz w:val="24"/>
          <w:szCs w:val="24"/>
        </w:rPr>
      </w:pPr>
      <w:r>
        <w:rPr>
          <w:sz w:val="24"/>
          <w:szCs w:val="24"/>
        </w:rPr>
        <w:t>90-day</w:t>
      </w:r>
      <w:r w:rsidR="00CE6856">
        <w:rPr>
          <w:sz w:val="24"/>
          <w:szCs w:val="24"/>
        </w:rPr>
        <w:t xml:space="preserve"> Treasury Bills, plus 0.50%</w:t>
      </w:r>
    </w:p>
    <w:p w:rsidR="00CE6856" w:rsidRPr="0069492D" w:rsidRDefault="00CE6856" w:rsidP="00843C7F">
      <w:pPr>
        <w:rPr>
          <w:b/>
          <w:sz w:val="24"/>
          <w:szCs w:val="24"/>
        </w:rPr>
      </w:pPr>
      <w:r w:rsidRPr="0069492D">
        <w:rPr>
          <w:b/>
          <w:sz w:val="24"/>
          <w:szCs w:val="24"/>
        </w:rPr>
        <w:t>Most Important Risk Factors:</w:t>
      </w:r>
    </w:p>
    <w:p w:rsidR="00CE6856" w:rsidRDefault="00CE6856" w:rsidP="00843C7F">
      <w:pPr>
        <w:rPr>
          <w:sz w:val="24"/>
          <w:szCs w:val="24"/>
        </w:rPr>
      </w:pPr>
      <w:r>
        <w:rPr>
          <w:sz w:val="24"/>
          <w:szCs w:val="24"/>
        </w:rPr>
        <w:t>Capital preservation and liquidity</w:t>
      </w:r>
    </w:p>
    <w:p w:rsidR="00CE6856" w:rsidRPr="0069492D" w:rsidRDefault="00CE6856" w:rsidP="00843C7F">
      <w:pPr>
        <w:rPr>
          <w:b/>
          <w:sz w:val="24"/>
          <w:szCs w:val="24"/>
        </w:rPr>
      </w:pPr>
      <w:r w:rsidRPr="0069492D">
        <w:rPr>
          <w:b/>
          <w:sz w:val="24"/>
          <w:szCs w:val="24"/>
        </w:rPr>
        <w:t>Appropriate Investments:</w:t>
      </w:r>
    </w:p>
    <w:p w:rsidR="00CE6856" w:rsidRDefault="00CE6856" w:rsidP="00843C7F">
      <w:pPr>
        <w:rPr>
          <w:sz w:val="24"/>
          <w:szCs w:val="24"/>
        </w:rPr>
      </w:pPr>
      <w:r>
        <w:rPr>
          <w:sz w:val="24"/>
          <w:szCs w:val="24"/>
        </w:rPr>
        <w:t xml:space="preserve">All securities will be readily marketable. Please see the following items. </w:t>
      </w:r>
    </w:p>
    <w:p w:rsidR="00CE6856" w:rsidRDefault="00CE6856" w:rsidP="00843C7F">
      <w:pPr>
        <w:rPr>
          <w:sz w:val="24"/>
          <w:szCs w:val="24"/>
        </w:rPr>
      </w:pPr>
    </w:p>
    <w:p w:rsidR="00CE6856" w:rsidRPr="001C352D" w:rsidRDefault="00CE6856" w:rsidP="0069492D">
      <w:pPr>
        <w:jc w:val="center"/>
        <w:rPr>
          <w:b/>
          <w:sz w:val="32"/>
          <w:szCs w:val="24"/>
        </w:rPr>
      </w:pPr>
      <w:r w:rsidRPr="001C352D">
        <w:rPr>
          <w:b/>
          <w:sz w:val="32"/>
          <w:szCs w:val="24"/>
        </w:rPr>
        <w:t>Short Term Horizon</w:t>
      </w:r>
    </w:p>
    <w:tbl>
      <w:tblPr>
        <w:tblStyle w:val="TableGrid"/>
        <w:tblW w:w="0" w:type="auto"/>
        <w:tblLook w:val="04A0" w:firstRow="1" w:lastRow="0" w:firstColumn="1" w:lastColumn="0" w:noHBand="0" w:noVBand="1"/>
      </w:tblPr>
      <w:tblGrid>
        <w:gridCol w:w="3116"/>
        <w:gridCol w:w="3117"/>
        <w:gridCol w:w="3117"/>
      </w:tblGrid>
      <w:tr w:rsidR="00CE6856" w:rsidTr="00CE6856">
        <w:tc>
          <w:tcPr>
            <w:tcW w:w="3116" w:type="dxa"/>
          </w:tcPr>
          <w:p w:rsidR="00CE6856" w:rsidRDefault="00CE6856" w:rsidP="00843C7F">
            <w:pPr>
              <w:rPr>
                <w:sz w:val="24"/>
                <w:szCs w:val="24"/>
              </w:rPr>
            </w:pPr>
            <w:r>
              <w:rPr>
                <w:sz w:val="24"/>
                <w:szCs w:val="24"/>
              </w:rPr>
              <w:t>SECURITY</w:t>
            </w:r>
          </w:p>
        </w:tc>
        <w:tc>
          <w:tcPr>
            <w:tcW w:w="3117" w:type="dxa"/>
          </w:tcPr>
          <w:p w:rsidR="00CE6856" w:rsidRDefault="00CE6856" w:rsidP="00843C7F">
            <w:pPr>
              <w:rPr>
                <w:sz w:val="24"/>
                <w:szCs w:val="24"/>
              </w:rPr>
            </w:pPr>
            <w:r>
              <w:rPr>
                <w:sz w:val="24"/>
                <w:szCs w:val="24"/>
              </w:rPr>
              <w:t>DESCRIPTION</w:t>
            </w:r>
          </w:p>
        </w:tc>
        <w:tc>
          <w:tcPr>
            <w:tcW w:w="3117" w:type="dxa"/>
          </w:tcPr>
          <w:p w:rsidR="00CE6856" w:rsidRDefault="00CE6856" w:rsidP="00843C7F">
            <w:pPr>
              <w:rPr>
                <w:sz w:val="24"/>
                <w:szCs w:val="24"/>
              </w:rPr>
            </w:pPr>
            <w:r>
              <w:rPr>
                <w:sz w:val="24"/>
                <w:szCs w:val="24"/>
              </w:rPr>
              <w:t>MAXIMUM POSITION</w:t>
            </w:r>
          </w:p>
        </w:tc>
      </w:tr>
      <w:tr w:rsidR="00CE6856" w:rsidTr="00CE6856">
        <w:tc>
          <w:tcPr>
            <w:tcW w:w="3116" w:type="dxa"/>
          </w:tcPr>
          <w:p w:rsidR="00CE6856" w:rsidRDefault="00CE6856" w:rsidP="00843C7F">
            <w:pPr>
              <w:rPr>
                <w:sz w:val="24"/>
                <w:szCs w:val="24"/>
              </w:rPr>
            </w:pPr>
            <w:r>
              <w:rPr>
                <w:sz w:val="24"/>
                <w:szCs w:val="24"/>
              </w:rPr>
              <w:t>Money Market Fund</w:t>
            </w:r>
          </w:p>
        </w:tc>
        <w:tc>
          <w:tcPr>
            <w:tcW w:w="3117" w:type="dxa"/>
          </w:tcPr>
          <w:p w:rsidR="00CE6856" w:rsidRDefault="00CE6856" w:rsidP="00843C7F">
            <w:pPr>
              <w:rPr>
                <w:sz w:val="24"/>
                <w:szCs w:val="24"/>
              </w:rPr>
            </w:pPr>
            <w:r>
              <w:rPr>
                <w:sz w:val="24"/>
                <w:szCs w:val="24"/>
              </w:rPr>
              <w:t>Daily Liquidity (NAV $1.00)</w:t>
            </w:r>
          </w:p>
        </w:tc>
        <w:tc>
          <w:tcPr>
            <w:tcW w:w="3117" w:type="dxa"/>
          </w:tcPr>
          <w:p w:rsidR="00CE6856" w:rsidRDefault="00CE6856" w:rsidP="00843C7F">
            <w:pPr>
              <w:rPr>
                <w:sz w:val="24"/>
                <w:szCs w:val="24"/>
              </w:rPr>
            </w:pPr>
            <w:r>
              <w:rPr>
                <w:sz w:val="24"/>
                <w:szCs w:val="24"/>
              </w:rPr>
              <w:t>20%, excluding trading</w:t>
            </w:r>
          </w:p>
        </w:tc>
      </w:tr>
      <w:tr w:rsidR="00CE6856" w:rsidTr="00CE6856">
        <w:tc>
          <w:tcPr>
            <w:tcW w:w="3116" w:type="dxa"/>
          </w:tcPr>
          <w:p w:rsidR="00CE6856" w:rsidRDefault="00CE6856" w:rsidP="00843C7F">
            <w:pPr>
              <w:rPr>
                <w:sz w:val="24"/>
                <w:szCs w:val="24"/>
              </w:rPr>
            </w:pPr>
            <w:r>
              <w:rPr>
                <w:sz w:val="24"/>
                <w:szCs w:val="24"/>
              </w:rPr>
              <w:t>Treasuries</w:t>
            </w:r>
          </w:p>
        </w:tc>
        <w:tc>
          <w:tcPr>
            <w:tcW w:w="3117" w:type="dxa"/>
          </w:tcPr>
          <w:p w:rsidR="00CE6856" w:rsidRDefault="00CE6856" w:rsidP="00843C7F">
            <w:pPr>
              <w:rPr>
                <w:sz w:val="24"/>
                <w:szCs w:val="24"/>
              </w:rPr>
            </w:pPr>
            <w:r>
              <w:rPr>
                <w:sz w:val="24"/>
                <w:szCs w:val="24"/>
              </w:rPr>
              <w:t>2 years or less</w:t>
            </w:r>
          </w:p>
        </w:tc>
        <w:tc>
          <w:tcPr>
            <w:tcW w:w="3117" w:type="dxa"/>
          </w:tcPr>
          <w:p w:rsidR="00CE6856" w:rsidRDefault="00CE6856" w:rsidP="00843C7F">
            <w:pPr>
              <w:rPr>
                <w:sz w:val="24"/>
                <w:szCs w:val="24"/>
              </w:rPr>
            </w:pPr>
            <w:r>
              <w:rPr>
                <w:sz w:val="24"/>
                <w:szCs w:val="24"/>
              </w:rPr>
              <w:t>20% in any single issue Maturity ladder</w:t>
            </w:r>
          </w:p>
        </w:tc>
      </w:tr>
      <w:tr w:rsidR="00CE6856" w:rsidTr="00CE6856">
        <w:tc>
          <w:tcPr>
            <w:tcW w:w="3116" w:type="dxa"/>
          </w:tcPr>
          <w:p w:rsidR="00CE6856" w:rsidRDefault="00CE6856" w:rsidP="00843C7F">
            <w:pPr>
              <w:rPr>
                <w:sz w:val="24"/>
                <w:szCs w:val="24"/>
              </w:rPr>
            </w:pPr>
            <w:r>
              <w:rPr>
                <w:sz w:val="24"/>
                <w:szCs w:val="24"/>
              </w:rPr>
              <w:lastRenderedPageBreak/>
              <w:t>Agencies</w:t>
            </w:r>
          </w:p>
        </w:tc>
        <w:tc>
          <w:tcPr>
            <w:tcW w:w="3117" w:type="dxa"/>
          </w:tcPr>
          <w:p w:rsidR="00CE6856" w:rsidRDefault="00CE6856" w:rsidP="00843C7F">
            <w:pPr>
              <w:rPr>
                <w:sz w:val="24"/>
                <w:szCs w:val="24"/>
              </w:rPr>
            </w:pPr>
            <w:r>
              <w:rPr>
                <w:sz w:val="24"/>
                <w:szCs w:val="24"/>
              </w:rPr>
              <w:t>2 years or less</w:t>
            </w:r>
          </w:p>
        </w:tc>
        <w:tc>
          <w:tcPr>
            <w:tcW w:w="3117" w:type="dxa"/>
          </w:tcPr>
          <w:p w:rsidR="00CE6856" w:rsidRDefault="00CE6856" w:rsidP="00843C7F">
            <w:pPr>
              <w:rPr>
                <w:sz w:val="24"/>
                <w:szCs w:val="24"/>
              </w:rPr>
            </w:pPr>
            <w:r>
              <w:rPr>
                <w:sz w:val="24"/>
                <w:szCs w:val="24"/>
              </w:rPr>
              <w:t xml:space="preserve">20% in any single issue </w:t>
            </w:r>
          </w:p>
          <w:p w:rsidR="00CE6856" w:rsidRDefault="00CE6856" w:rsidP="00843C7F">
            <w:pPr>
              <w:rPr>
                <w:sz w:val="24"/>
                <w:szCs w:val="24"/>
              </w:rPr>
            </w:pPr>
            <w:r>
              <w:rPr>
                <w:sz w:val="24"/>
                <w:szCs w:val="24"/>
              </w:rPr>
              <w:t>Maturity ladder</w:t>
            </w:r>
          </w:p>
        </w:tc>
      </w:tr>
      <w:tr w:rsidR="00CE6856" w:rsidTr="00CE6856">
        <w:tc>
          <w:tcPr>
            <w:tcW w:w="3116" w:type="dxa"/>
          </w:tcPr>
          <w:p w:rsidR="00CE6856" w:rsidRDefault="00CE6856" w:rsidP="00843C7F">
            <w:pPr>
              <w:rPr>
                <w:sz w:val="24"/>
                <w:szCs w:val="24"/>
              </w:rPr>
            </w:pPr>
            <w:r>
              <w:rPr>
                <w:sz w:val="24"/>
                <w:szCs w:val="24"/>
              </w:rPr>
              <w:t>Corporate debt</w:t>
            </w:r>
          </w:p>
          <w:p w:rsidR="00CE6856" w:rsidRDefault="00CE6856" w:rsidP="00843C7F">
            <w:pPr>
              <w:rPr>
                <w:sz w:val="24"/>
                <w:szCs w:val="24"/>
              </w:rPr>
            </w:pPr>
            <w:r>
              <w:rPr>
                <w:sz w:val="24"/>
                <w:szCs w:val="24"/>
              </w:rPr>
              <w:t>Securities</w:t>
            </w:r>
          </w:p>
        </w:tc>
        <w:tc>
          <w:tcPr>
            <w:tcW w:w="3117" w:type="dxa"/>
          </w:tcPr>
          <w:p w:rsidR="00CE6856" w:rsidRDefault="00CE6856" w:rsidP="00843C7F">
            <w:pPr>
              <w:rPr>
                <w:sz w:val="24"/>
                <w:szCs w:val="24"/>
              </w:rPr>
            </w:pPr>
            <w:r>
              <w:rPr>
                <w:sz w:val="24"/>
                <w:szCs w:val="24"/>
              </w:rPr>
              <w:t>2 years or less, minimum</w:t>
            </w:r>
          </w:p>
          <w:p w:rsidR="00CE6856" w:rsidRDefault="00CE6856" w:rsidP="00843C7F">
            <w:pPr>
              <w:rPr>
                <w:sz w:val="24"/>
                <w:szCs w:val="24"/>
              </w:rPr>
            </w:pPr>
            <w:r>
              <w:rPr>
                <w:sz w:val="24"/>
                <w:szCs w:val="24"/>
              </w:rPr>
              <w:t>Of an A rating</w:t>
            </w:r>
          </w:p>
        </w:tc>
        <w:tc>
          <w:tcPr>
            <w:tcW w:w="3117" w:type="dxa"/>
          </w:tcPr>
          <w:p w:rsidR="00CE6856" w:rsidRDefault="00CE6856" w:rsidP="00843C7F">
            <w:pPr>
              <w:rPr>
                <w:sz w:val="24"/>
                <w:szCs w:val="24"/>
              </w:rPr>
            </w:pPr>
            <w:r>
              <w:rPr>
                <w:sz w:val="24"/>
                <w:szCs w:val="24"/>
              </w:rPr>
              <w:t>5% in any single issuer</w:t>
            </w:r>
          </w:p>
          <w:p w:rsidR="00CE6856" w:rsidRDefault="00CE6856" w:rsidP="00843C7F">
            <w:pPr>
              <w:rPr>
                <w:sz w:val="24"/>
                <w:szCs w:val="24"/>
              </w:rPr>
            </w:pPr>
            <w:r>
              <w:rPr>
                <w:sz w:val="24"/>
                <w:szCs w:val="24"/>
              </w:rPr>
              <w:t>Maturity ladder</w:t>
            </w:r>
          </w:p>
        </w:tc>
      </w:tr>
      <w:tr w:rsidR="00CE6856" w:rsidTr="00CE6856">
        <w:tc>
          <w:tcPr>
            <w:tcW w:w="3116" w:type="dxa"/>
          </w:tcPr>
          <w:p w:rsidR="00CE6856" w:rsidRDefault="00CE6856" w:rsidP="00843C7F">
            <w:pPr>
              <w:rPr>
                <w:sz w:val="24"/>
                <w:szCs w:val="24"/>
              </w:rPr>
            </w:pPr>
            <w:r>
              <w:rPr>
                <w:sz w:val="24"/>
                <w:szCs w:val="24"/>
              </w:rPr>
              <w:t>Bank Certificates</w:t>
            </w:r>
          </w:p>
        </w:tc>
        <w:tc>
          <w:tcPr>
            <w:tcW w:w="3117" w:type="dxa"/>
          </w:tcPr>
          <w:p w:rsidR="00CE6856" w:rsidRDefault="00CE6856" w:rsidP="00843C7F">
            <w:pPr>
              <w:rPr>
                <w:sz w:val="24"/>
                <w:szCs w:val="24"/>
              </w:rPr>
            </w:pPr>
            <w:r>
              <w:rPr>
                <w:sz w:val="24"/>
                <w:szCs w:val="24"/>
              </w:rPr>
              <w:t>2 year maximum</w:t>
            </w:r>
          </w:p>
        </w:tc>
        <w:tc>
          <w:tcPr>
            <w:tcW w:w="3117" w:type="dxa"/>
          </w:tcPr>
          <w:p w:rsidR="00CE6856" w:rsidRDefault="00CE6856" w:rsidP="00843C7F">
            <w:pPr>
              <w:rPr>
                <w:sz w:val="24"/>
                <w:szCs w:val="24"/>
              </w:rPr>
            </w:pPr>
            <w:r>
              <w:rPr>
                <w:sz w:val="24"/>
                <w:szCs w:val="24"/>
              </w:rPr>
              <w:t>5% for any one issue</w:t>
            </w:r>
          </w:p>
          <w:p w:rsidR="00CE6856" w:rsidRDefault="00CE6856" w:rsidP="00843C7F">
            <w:pPr>
              <w:rPr>
                <w:sz w:val="24"/>
                <w:szCs w:val="24"/>
              </w:rPr>
            </w:pPr>
            <w:r>
              <w:rPr>
                <w:sz w:val="24"/>
                <w:szCs w:val="24"/>
              </w:rPr>
              <w:t>30% in repos. &amp; CDs</w:t>
            </w:r>
          </w:p>
        </w:tc>
      </w:tr>
      <w:tr w:rsidR="00CE6856" w:rsidTr="00CE6856">
        <w:tc>
          <w:tcPr>
            <w:tcW w:w="3116" w:type="dxa"/>
          </w:tcPr>
          <w:p w:rsidR="00CE6856" w:rsidRDefault="00CE6856" w:rsidP="00843C7F">
            <w:pPr>
              <w:rPr>
                <w:sz w:val="24"/>
                <w:szCs w:val="24"/>
              </w:rPr>
            </w:pPr>
            <w:r>
              <w:rPr>
                <w:sz w:val="24"/>
                <w:szCs w:val="24"/>
              </w:rPr>
              <w:t>Municipal Debt</w:t>
            </w:r>
          </w:p>
        </w:tc>
        <w:tc>
          <w:tcPr>
            <w:tcW w:w="3117" w:type="dxa"/>
          </w:tcPr>
          <w:p w:rsidR="00CE6856" w:rsidRDefault="00CE6856" w:rsidP="00843C7F">
            <w:pPr>
              <w:rPr>
                <w:sz w:val="24"/>
                <w:szCs w:val="24"/>
              </w:rPr>
            </w:pPr>
            <w:r>
              <w:rPr>
                <w:sz w:val="24"/>
                <w:szCs w:val="24"/>
              </w:rPr>
              <w:t xml:space="preserve">2 years or less, minimum </w:t>
            </w:r>
          </w:p>
          <w:p w:rsidR="00CE6856" w:rsidRDefault="00CE6856" w:rsidP="00843C7F">
            <w:pPr>
              <w:rPr>
                <w:sz w:val="24"/>
                <w:szCs w:val="24"/>
              </w:rPr>
            </w:pPr>
            <w:r>
              <w:rPr>
                <w:sz w:val="24"/>
                <w:szCs w:val="24"/>
              </w:rPr>
              <w:t>Of an A rating</w:t>
            </w:r>
          </w:p>
        </w:tc>
        <w:tc>
          <w:tcPr>
            <w:tcW w:w="3117" w:type="dxa"/>
          </w:tcPr>
          <w:p w:rsidR="00CE6856" w:rsidRDefault="00CE6856" w:rsidP="00843C7F">
            <w:pPr>
              <w:rPr>
                <w:sz w:val="24"/>
                <w:szCs w:val="24"/>
              </w:rPr>
            </w:pPr>
            <w:r>
              <w:rPr>
                <w:sz w:val="24"/>
                <w:szCs w:val="24"/>
              </w:rPr>
              <w:t xml:space="preserve">5% in any single issuer, </w:t>
            </w:r>
          </w:p>
          <w:p w:rsidR="00CE6856" w:rsidRDefault="00CE6856" w:rsidP="00843C7F">
            <w:pPr>
              <w:rPr>
                <w:sz w:val="24"/>
                <w:szCs w:val="24"/>
              </w:rPr>
            </w:pPr>
            <w:r>
              <w:rPr>
                <w:sz w:val="24"/>
                <w:szCs w:val="24"/>
              </w:rPr>
              <w:t>Total munis. 25%</w:t>
            </w:r>
          </w:p>
        </w:tc>
      </w:tr>
    </w:tbl>
    <w:p w:rsidR="00CE6856" w:rsidRDefault="00CE6856" w:rsidP="00843C7F">
      <w:pPr>
        <w:rPr>
          <w:sz w:val="24"/>
          <w:szCs w:val="24"/>
        </w:rPr>
      </w:pPr>
    </w:p>
    <w:p w:rsidR="00CE6856" w:rsidRDefault="00CE6856" w:rsidP="00843C7F">
      <w:pPr>
        <w:rPr>
          <w:sz w:val="24"/>
          <w:szCs w:val="24"/>
        </w:rPr>
      </w:pPr>
      <w:r>
        <w:rPr>
          <w:sz w:val="24"/>
          <w:szCs w:val="24"/>
        </w:rPr>
        <w:t>The following individual securities are prohibited from purchase (except held inside mutual fund):</w:t>
      </w:r>
    </w:p>
    <w:p w:rsidR="00CE6856" w:rsidRDefault="00CE6856" w:rsidP="00CE6856">
      <w:pPr>
        <w:pStyle w:val="ListParagraph"/>
        <w:numPr>
          <w:ilvl w:val="0"/>
          <w:numId w:val="3"/>
        </w:numPr>
        <w:rPr>
          <w:sz w:val="24"/>
          <w:szCs w:val="24"/>
        </w:rPr>
      </w:pPr>
      <w:r>
        <w:rPr>
          <w:sz w:val="24"/>
          <w:szCs w:val="24"/>
        </w:rPr>
        <w:t>Euro dollar and non-US dollar bonds</w:t>
      </w:r>
    </w:p>
    <w:p w:rsidR="00CE6856" w:rsidRDefault="00CE6856" w:rsidP="00CE6856">
      <w:pPr>
        <w:pStyle w:val="ListParagraph"/>
        <w:numPr>
          <w:ilvl w:val="0"/>
          <w:numId w:val="3"/>
        </w:numPr>
        <w:rPr>
          <w:sz w:val="24"/>
          <w:szCs w:val="24"/>
        </w:rPr>
      </w:pPr>
      <w:r>
        <w:rPr>
          <w:sz w:val="24"/>
          <w:szCs w:val="24"/>
        </w:rPr>
        <w:t>Inverse Floaters</w:t>
      </w:r>
    </w:p>
    <w:p w:rsidR="00CE6856" w:rsidRDefault="00CE6856" w:rsidP="00CE6856">
      <w:pPr>
        <w:pStyle w:val="ListParagraph"/>
        <w:numPr>
          <w:ilvl w:val="0"/>
          <w:numId w:val="3"/>
        </w:numPr>
        <w:rPr>
          <w:sz w:val="24"/>
          <w:szCs w:val="24"/>
        </w:rPr>
      </w:pPr>
      <w:r>
        <w:rPr>
          <w:sz w:val="24"/>
          <w:szCs w:val="24"/>
        </w:rPr>
        <w:t>Support tranches of CMO securities</w:t>
      </w:r>
    </w:p>
    <w:p w:rsidR="00CE6856" w:rsidRDefault="00CE6856" w:rsidP="00CE6856">
      <w:pPr>
        <w:pStyle w:val="ListParagraph"/>
        <w:numPr>
          <w:ilvl w:val="0"/>
          <w:numId w:val="3"/>
        </w:numPr>
        <w:rPr>
          <w:sz w:val="24"/>
          <w:szCs w:val="24"/>
        </w:rPr>
      </w:pPr>
      <w:r>
        <w:rPr>
          <w:sz w:val="24"/>
          <w:szCs w:val="24"/>
        </w:rPr>
        <w:t>Principal Only and Interest Only securities</w:t>
      </w:r>
    </w:p>
    <w:p w:rsidR="00CE6856" w:rsidRDefault="00CE6856" w:rsidP="00CE6856">
      <w:pPr>
        <w:pStyle w:val="ListParagraph"/>
        <w:numPr>
          <w:ilvl w:val="0"/>
          <w:numId w:val="3"/>
        </w:numPr>
        <w:rPr>
          <w:sz w:val="24"/>
          <w:szCs w:val="24"/>
        </w:rPr>
      </w:pPr>
      <w:r>
        <w:rPr>
          <w:sz w:val="24"/>
          <w:szCs w:val="24"/>
        </w:rPr>
        <w:t>Collateralized Mortgage Obligations</w:t>
      </w:r>
    </w:p>
    <w:p w:rsidR="00CE6856" w:rsidRDefault="00CE6856" w:rsidP="00CE6856">
      <w:pPr>
        <w:pStyle w:val="ListParagraph"/>
        <w:numPr>
          <w:ilvl w:val="0"/>
          <w:numId w:val="3"/>
        </w:numPr>
        <w:rPr>
          <w:sz w:val="24"/>
          <w:szCs w:val="24"/>
        </w:rPr>
      </w:pPr>
      <w:r>
        <w:rPr>
          <w:sz w:val="24"/>
          <w:szCs w:val="24"/>
        </w:rPr>
        <w:t>Bankers Acceptances</w:t>
      </w:r>
    </w:p>
    <w:p w:rsidR="00CE6856" w:rsidRDefault="00CE6856" w:rsidP="00CE6856">
      <w:pPr>
        <w:pStyle w:val="ListParagraph"/>
        <w:numPr>
          <w:ilvl w:val="0"/>
          <w:numId w:val="3"/>
        </w:numPr>
        <w:rPr>
          <w:sz w:val="24"/>
          <w:szCs w:val="24"/>
        </w:rPr>
      </w:pPr>
      <w:r>
        <w:rPr>
          <w:sz w:val="24"/>
          <w:szCs w:val="24"/>
        </w:rPr>
        <w:t>Commercial Paper</w:t>
      </w:r>
    </w:p>
    <w:p w:rsidR="00CE6856" w:rsidRDefault="00CE6856" w:rsidP="00CE6856">
      <w:pPr>
        <w:rPr>
          <w:sz w:val="24"/>
          <w:szCs w:val="24"/>
        </w:rPr>
      </w:pPr>
    </w:p>
    <w:p w:rsidR="00CE6856" w:rsidRPr="001C352D" w:rsidRDefault="00CE6856" w:rsidP="001C352D">
      <w:pPr>
        <w:jc w:val="center"/>
        <w:rPr>
          <w:rFonts w:ascii="Times New Roman" w:hAnsi="Times New Roman" w:cs="Times New Roman"/>
          <w:b/>
          <w:sz w:val="24"/>
          <w:szCs w:val="24"/>
        </w:rPr>
      </w:pPr>
      <w:r w:rsidRPr="001C352D">
        <w:rPr>
          <w:rFonts w:ascii="Times New Roman" w:hAnsi="Times New Roman" w:cs="Times New Roman"/>
          <w:b/>
          <w:sz w:val="24"/>
          <w:szCs w:val="24"/>
        </w:rPr>
        <w:t>Intermediate Horizon</w:t>
      </w:r>
    </w:p>
    <w:p w:rsidR="00CE6856" w:rsidRPr="001C352D" w:rsidRDefault="00CE6856" w:rsidP="00CE6856">
      <w:pPr>
        <w:rPr>
          <w:b/>
          <w:sz w:val="24"/>
          <w:szCs w:val="24"/>
        </w:rPr>
      </w:pPr>
      <w:r w:rsidRPr="001C352D">
        <w:rPr>
          <w:b/>
          <w:sz w:val="24"/>
          <w:szCs w:val="24"/>
        </w:rPr>
        <w:t xml:space="preserve">Purpose: </w:t>
      </w:r>
    </w:p>
    <w:p w:rsidR="00CE6856" w:rsidRDefault="00CE6856" w:rsidP="00CE6856">
      <w:pPr>
        <w:rPr>
          <w:sz w:val="24"/>
          <w:szCs w:val="24"/>
        </w:rPr>
      </w:pPr>
      <w:r>
        <w:rPr>
          <w:sz w:val="24"/>
          <w:szCs w:val="24"/>
        </w:rPr>
        <w:t xml:space="preserve">Investments in the intermediate category will be designated to meet capital expenditure needs and longer term operating requirements. </w:t>
      </w:r>
    </w:p>
    <w:p w:rsidR="00CE6856" w:rsidRPr="001C352D" w:rsidRDefault="00CE6856" w:rsidP="00CE6856">
      <w:pPr>
        <w:rPr>
          <w:b/>
          <w:sz w:val="24"/>
          <w:szCs w:val="24"/>
        </w:rPr>
      </w:pPr>
      <w:r w:rsidRPr="001C352D">
        <w:rPr>
          <w:b/>
          <w:sz w:val="24"/>
          <w:szCs w:val="24"/>
        </w:rPr>
        <w:t xml:space="preserve">Return Objective: </w:t>
      </w:r>
    </w:p>
    <w:p w:rsidR="00CE6856" w:rsidRDefault="00CE6856" w:rsidP="00CE6856">
      <w:pPr>
        <w:rPr>
          <w:sz w:val="24"/>
          <w:szCs w:val="24"/>
        </w:rPr>
      </w:pPr>
      <w:r>
        <w:rPr>
          <w:sz w:val="24"/>
          <w:szCs w:val="24"/>
        </w:rPr>
        <w:t xml:space="preserve">This portfolio is expected to produce a return in excess of the following composite: </w:t>
      </w:r>
    </w:p>
    <w:p w:rsidR="00CE6856" w:rsidRDefault="00CE6856" w:rsidP="00CE6856">
      <w:pPr>
        <w:rPr>
          <w:sz w:val="24"/>
          <w:szCs w:val="24"/>
        </w:rPr>
      </w:pPr>
      <w:r>
        <w:rPr>
          <w:sz w:val="24"/>
          <w:szCs w:val="24"/>
        </w:rPr>
        <w:t xml:space="preserve">Barclay’s Bond Index </w:t>
      </w:r>
      <w:r>
        <w:rPr>
          <w:sz w:val="24"/>
          <w:szCs w:val="24"/>
        </w:rPr>
        <w:tab/>
      </w:r>
      <w:r>
        <w:rPr>
          <w:sz w:val="24"/>
          <w:szCs w:val="24"/>
        </w:rPr>
        <w:tab/>
      </w:r>
      <w:r>
        <w:rPr>
          <w:sz w:val="24"/>
          <w:szCs w:val="24"/>
        </w:rPr>
        <w:tab/>
      </w:r>
      <w:r>
        <w:rPr>
          <w:sz w:val="24"/>
          <w:szCs w:val="24"/>
        </w:rPr>
        <w:tab/>
      </w:r>
      <w:r>
        <w:rPr>
          <w:sz w:val="24"/>
          <w:szCs w:val="24"/>
        </w:rPr>
        <w:tab/>
        <w:t>95%</w:t>
      </w:r>
    </w:p>
    <w:p w:rsidR="00CE6856" w:rsidRDefault="00CE6856" w:rsidP="00CE6856">
      <w:pPr>
        <w:rPr>
          <w:sz w:val="24"/>
          <w:szCs w:val="24"/>
        </w:rPr>
      </w:pPr>
      <w:r>
        <w:rPr>
          <w:sz w:val="24"/>
          <w:szCs w:val="24"/>
        </w:rPr>
        <w:t xml:space="preserve">90 day United States Treasury Bills </w:t>
      </w:r>
      <w:r>
        <w:rPr>
          <w:sz w:val="24"/>
          <w:szCs w:val="24"/>
        </w:rPr>
        <w:tab/>
      </w:r>
      <w:r>
        <w:rPr>
          <w:sz w:val="24"/>
          <w:szCs w:val="24"/>
        </w:rPr>
        <w:tab/>
      </w:r>
      <w:r>
        <w:rPr>
          <w:sz w:val="24"/>
          <w:szCs w:val="24"/>
        </w:rPr>
        <w:tab/>
        <w:t>5%</w:t>
      </w:r>
    </w:p>
    <w:p w:rsidR="00CE6856" w:rsidRDefault="00B0225F" w:rsidP="00CE6856">
      <w:pPr>
        <w:rPr>
          <w:sz w:val="24"/>
          <w:szCs w:val="24"/>
        </w:rPr>
      </w:pPr>
      <w:r>
        <w:rPr>
          <w:sz w:val="24"/>
          <w:szCs w:val="24"/>
        </w:rPr>
        <w:t xml:space="preserve">Unless the manager’s interim results are significantly below expectations, the period for evaluation will include a complete market cycle, assumed to be 2 to 5 years. </w:t>
      </w:r>
    </w:p>
    <w:p w:rsidR="00B0225F" w:rsidRPr="001C352D" w:rsidRDefault="00B0225F" w:rsidP="00CE6856">
      <w:pPr>
        <w:rPr>
          <w:b/>
          <w:sz w:val="24"/>
          <w:szCs w:val="24"/>
        </w:rPr>
      </w:pPr>
      <w:r w:rsidRPr="001C352D">
        <w:rPr>
          <w:b/>
          <w:sz w:val="24"/>
          <w:szCs w:val="24"/>
        </w:rPr>
        <w:t>Most Important Risk factor:</w:t>
      </w:r>
    </w:p>
    <w:p w:rsidR="00B0225F" w:rsidRDefault="00B0225F" w:rsidP="00CE6856">
      <w:pPr>
        <w:rPr>
          <w:sz w:val="24"/>
          <w:szCs w:val="24"/>
        </w:rPr>
      </w:pPr>
      <w:r>
        <w:rPr>
          <w:sz w:val="24"/>
          <w:szCs w:val="24"/>
        </w:rPr>
        <w:t>Purchasing power risk (inflation)</w:t>
      </w:r>
    </w:p>
    <w:p w:rsidR="00B0225F" w:rsidRPr="001C352D" w:rsidRDefault="00B0225F" w:rsidP="00CE6856">
      <w:pPr>
        <w:rPr>
          <w:b/>
          <w:sz w:val="24"/>
          <w:szCs w:val="24"/>
        </w:rPr>
      </w:pPr>
      <w:r w:rsidRPr="001C352D">
        <w:rPr>
          <w:b/>
          <w:sz w:val="24"/>
          <w:szCs w:val="24"/>
        </w:rPr>
        <w:t xml:space="preserve">Liquidity: </w:t>
      </w:r>
    </w:p>
    <w:p w:rsidR="00B0225F" w:rsidRDefault="00B0225F" w:rsidP="00CE6856">
      <w:pPr>
        <w:rPr>
          <w:sz w:val="24"/>
          <w:szCs w:val="24"/>
        </w:rPr>
      </w:pPr>
      <w:r>
        <w:rPr>
          <w:sz w:val="24"/>
          <w:szCs w:val="24"/>
        </w:rPr>
        <w:lastRenderedPageBreak/>
        <w:t xml:space="preserve">The manager needs to fully understand the plans and cash </w:t>
      </w:r>
      <w:r w:rsidR="0069492D">
        <w:rPr>
          <w:sz w:val="24"/>
          <w:szCs w:val="24"/>
        </w:rPr>
        <w:t>requirements</w:t>
      </w:r>
      <w:r>
        <w:rPr>
          <w:sz w:val="24"/>
          <w:szCs w:val="24"/>
        </w:rPr>
        <w:t xml:space="preserve"> of the Endowment (as defined by the board from time to time). </w:t>
      </w:r>
    </w:p>
    <w:p w:rsidR="00B0225F" w:rsidRPr="001C352D" w:rsidRDefault="00B0225F" w:rsidP="00CE6856">
      <w:pPr>
        <w:rPr>
          <w:b/>
          <w:sz w:val="24"/>
          <w:szCs w:val="24"/>
        </w:rPr>
      </w:pPr>
      <w:r w:rsidRPr="001C352D">
        <w:rPr>
          <w:b/>
          <w:sz w:val="24"/>
          <w:szCs w:val="24"/>
        </w:rPr>
        <w:t xml:space="preserve">Market Value Fluctuations: </w:t>
      </w:r>
    </w:p>
    <w:p w:rsidR="00B0225F" w:rsidRDefault="00B0225F" w:rsidP="00CE6856">
      <w:pPr>
        <w:rPr>
          <w:sz w:val="24"/>
          <w:szCs w:val="24"/>
        </w:rPr>
      </w:pPr>
      <w:r>
        <w:rPr>
          <w:sz w:val="24"/>
          <w:szCs w:val="24"/>
        </w:rPr>
        <w:t>Minimal</w:t>
      </w:r>
    </w:p>
    <w:p w:rsidR="00B0225F" w:rsidRPr="001C352D" w:rsidRDefault="00B0225F" w:rsidP="00CE6856">
      <w:pPr>
        <w:rPr>
          <w:b/>
          <w:sz w:val="24"/>
          <w:szCs w:val="24"/>
        </w:rPr>
      </w:pPr>
      <w:r w:rsidRPr="001C352D">
        <w:rPr>
          <w:b/>
          <w:sz w:val="24"/>
          <w:szCs w:val="24"/>
        </w:rPr>
        <w:t xml:space="preserve">Appropriate Investments: </w:t>
      </w:r>
    </w:p>
    <w:p w:rsidR="00B0225F" w:rsidRDefault="00B0225F" w:rsidP="00CE6856">
      <w:pPr>
        <w:rPr>
          <w:sz w:val="24"/>
          <w:szCs w:val="24"/>
        </w:rPr>
      </w:pPr>
      <w:r>
        <w:rPr>
          <w:sz w:val="24"/>
          <w:szCs w:val="24"/>
        </w:rPr>
        <w:t xml:space="preserve">All securities will be readily marketable. Please see the following items. </w:t>
      </w:r>
    </w:p>
    <w:p w:rsidR="00B0225F" w:rsidRPr="001C352D" w:rsidRDefault="00B0225F" w:rsidP="001C352D">
      <w:pPr>
        <w:jc w:val="center"/>
        <w:rPr>
          <w:rFonts w:ascii="Times New Roman" w:hAnsi="Times New Roman" w:cs="Times New Roman"/>
          <w:b/>
          <w:sz w:val="24"/>
          <w:szCs w:val="24"/>
        </w:rPr>
      </w:pPr>
      <w:r w:rsidRPr="001C352D">
        <w:rPr>
          <w:rFonts w:ascii="Times New Roman" w:hAnsi="Times New Roman" w:cs="Times New Roman"/>
          <w:b/>
          <w:sz w:val="24"/>
          <w:szCs w:val="24"/>
        </w:rPr>
        <w:t>INTERMEDIATE HORIZON</w:t>
      </w:r>
    </w:p>
    <w:tbl>
      <w:tblPr>
        <w:tblStyle w:val="TableGrid"/>
        <w:tblW w:w="0" w:type="auto"/>
        <w:tblLook w:val="04A0" w:firstRow="1" w:lastRow="0" w:firstColumn="1" w:lastColumn="0" w:noHBand="0" w:noVBand="1"/>
      </w:tblPr>
      <w:tblGrid>
        <w:gridCol w:w="3116"/>
        <w:gridCol w:w="3117"/>
        <w:gridCol w:w="3117"/>
      </w:tblGrid>
      <w:tr w:rsidR="00B0225F" w:rsidTr="00B0225F">
        <w:tc>
          <w:tcPr>
            <w:tcW w:w="3116" w:type="dxa"/>
          </w:tcPr>
          <w:p w:rsidR="00B0225F" w:rsidRDefault="00B0225F" w:rsidP="00CE6856">
            <w:pPr>
              <w:rPr>
                <w:sz w:val="24"/>
                <w:szCs w:val="24"/>
              </w:rPr>
            </w:pPr>
            <w:r>
              <w:rPr>
                <w:sz w:val="24"/>
                <w:szCs w:val="24"/>
              </w:rPr>
              <w:t>SECURITY</w:t>
            </w:r>
          </w:p>
        </w:tc>
        <w:tc>
          <w:tcPr>
            <w:tcW w:w="3117" w:type="dxa"/>
          </w:tcPr>
          <w:p w:rsidR="00B0225F" w:rsidRDefault="00B0225F" w:rsidP="00CE6856">
            <w:pPr>
              <w:rPr>
                <w:sz w:val="24"/>
                <w:szCs w:val="24"/>
              </w:rPr>
            </w:pPr>
            <w:r>
              <w:rPr>
                <w:sz w:val="24"/>
                <w:szCs w:val="24"/>
              </w:rPr>
              <w:t xml:space="preserve">DESCRIPTION </w:t>
            </w:r>
          </w:p>
        </w:tc>
        <w:tc>
          <w:tcPr>
            <w:tcW w:w="3117" w:type="dxa"/>
          </w:tcPr>
          <w:p w:rsidR="00B0225F" w:rsidRDefault="00B0225F" w:rsidP="00CE6856">
            <w:pPr>
              <w:rPr>
                <w:sz w:val="24"/>
                <w:szCs w:val="24"/>
              </w:rPr>
            </w:pPr>
            <w:r>
              <w:rPr>
                <w:sz w:val="24"/>
                <w:szCs w:val="24"/>
              </w:rPr>
              <w:t>MAXIMUM POSITION</w:t>
            </w:r>
          </w:p>
        </w:tc>
      </w:tr>
      <w:tr w:rsidR="00B0225F" w:rsidTr="00B0225F">
        <w:tc>
          <w:tcPr>
            <w:tcW w:w="3116" w:type="dxa"/>
          </w:tcPr>
          <w:p w:rsidR="00B0225F" w:rsidRDefault="00B0225F" w:rsidP="00CE6856">
            <w:pPr>
              <w:rPr>
                <w:sz w:val="24"/>
                <w:szCs w:val="24"/>
              </w:rPr>
            </w:pPr>
            <w:r>
              <w:rPr>
                <w:sz w:val="24"/>
                <w:szCs w:val="24"/>
              </w:rPr>
              <w:t xml:space="preserve">Treasuries </w:t>
            </w:r>
          </w:p>
        </w:tc>
        <w:tc>
          <w:tcPr>
            <w:tcW w:w="3117" w:type="dxa"/>
          </w:tcPr>
          <w:p w:rsidR="00B0225F" w:rsidRDefault="00B0225F" w:rsidP="00CE6856">
            <w:pPr>
              <w:rPr>
                <w:sz w:val="24"/>
                <w:szCs w:val="24"/>
              </w:rPr>
            </w:pPr>
            <w:r>
              <w:rPr>
                <w:sz w:val="24"/>
                <w:szCs w:val="24"/>
              </w:rPr>
              <w:t>5 years or less</w:t>
            </w:r>
          </w:p>
        </w:tc>
        <w:tc>
          <w:tcPr>
            <w:tcW w:w="3117" w:type="dxa"/>
          </w:tcPr>
          <w:p w:rsidR="00B0225F" w:rsidRDefault="00B0225F" w:rsidP="00CE6856">
            <w:pPr>
              <w:rPr>
                <w:sz w:val="24"/>
                <w:szCs w:val="24"/>
              </w:rPr>
            </w:pPr>
            <w:r>
              <w:rPr>
                <w:sz w:val="24"/>
                <w:szCs w:val="24"/>
              </w:rPr>
              <w:t xml:space="preserve">20% in any single issue </w:t>
            </w:r>
          </w:p>
          <w:p w:rsidR="00B0225F" w:rsidRDefault="00B0225F" w:rsidP="00CE6856">
            <w:pPr>
              <w:rPr>
                <w:sz w:val="24"/>
                <w:szCs w:val="24"/>
              </w:rPr>
            </w:pPr>
            <w:r>
              <w:rPr>
                <w:sz w:val="24"/>
                <w:szCs w:val="24"/>
              </w:rPr>
              <w:t>Maturity ladder</w:t>
            </w:r>
          </w:p>
        </w:tc>
      </w:tr>
      <w:tr w:rsidR="00B0225F" w:rsidTr="00B0225F">
        <w:tc>
          <w:tcPr>
            <w:tcW w:w="3116" w:type="dxa"/>
          </w:tcPr>
          <w:p w:rsidR="00B0225F" w:rsidRDefault="00B0225F" w:rsidP="00CE6856">
            <w:pPr>
              <w:rPr>
                <w:sz w:val="24"/>
                <w:szCs w:val="24"/>
              </w:rPr>
            </w:pPr>
            <w:r>
              <w:rPr>
                <w:sz w:val="24"/>
                <w:szCs w:val="24"/>
              </w:rPr>
              <w:t>Agencies</w:t>
            </w:r>
          </w:p>
        </w:tc>
        <w:tc>
          <w:tcPr>
            <w:tcW w:w="3117" w:type="dxa"/>
          </w:tcPr>
          <w:p w:rsidR="00B0225F" w:rsidRDefault="00B0225F" w:rsidP="00CE6856">
            <w:pPr>
              <w:rPr>
                <w:sz w:val="24"/>
                <w:szCs w:val="24"/>
              </w:rPr>
            </w:pPr>
            <w:r>
              <w:rPr>
                <w:sz w:val="24"/>
                <w:szCs w:val="24"/>
              </w:rPr>
              <w:t>5 years or less</w:t>
            </w:r>
          </w:p>
        </w:tc>
        <w:tc>
          <w:tcPr>
            <w:tcW w:w="3117" w:type="dxa"/>
          </w:tcPr>
          <w:p w:rsidR="00B0225F" w:rsidRDefault="00B0225F" w:rsidP="00CE6856">
            <w:pPr>
              <w:rPr>
                <w:sz w:val="24"/>
                <w:szCs w:val="24"/>
              </w:rPr>
            </w:pPr>
            <w:r>
              <w:rPr>
                <w:sz w:val="24"/>
                <w:szCs w:val="24"/>
              </w:rPr>
              <w:t>20% in any single issue</w:t>
            </w:r>
          </w:p>
          <w:p w:rsidR="00B0225F" w:rsidRDefault="00B0225F" w:rsidP="00CE6856">
            <w:pPr>
              <w:rPr>
                <w:sz w:val="24"/>
                <w:szCs w:val="24"/>
              </w:rPr>
            </w:pPr>
            <w:r>
              <w:rPr>
                <w:sz w:val="24"/>
                <w:szCs w:val="24"/>
              </w:rPr>
              <w:t>Maturity ladder</w:t>
            </w:r>
          </w:p>
        </w:tc>
      </w:tr>
      <w:tr w:rsidR="00B0225F" w:rsidTr="00B0225F">
        <w:tc>
          <w:tcPr>
            <w:tcW w:w="3116" w:type="dxa"/>
          </w:tcPr>
          <w:p w:rsidR="00B0225F" w:rsidRDefault="00B0225F" w:rsidP="00CE6856">
            <w:pPr>
              <w:rPr>
                <w:sz w:val="24"/>
                <w:szCs w:val="24"/>
              </w:rPr>
            </w:pPr>
            <w:r>
              <w:rPr>
                <w:sz w:val="24"/>
                <w:szCs w:val="24"/>
              </w:rPr>
              <w:t>Corporate Debt</w:t>
            </w:r>
          </w:p>
        </w:tc>
        <w:tc>
          <w:tcPr>
            <w:tcW w:w="3117" w:type="dxa"/>
          </w:tcPr>
          <w:p w:rsidR="00B0225F" w:rsidRDefault="00B0225F" w:rsidP="00CE6856">
            <w:pPr>
              <w:rPr>
                <w:sz w:val="24"/>
                <w:szCs w:val="24"/>
              </w:rPr>
            </w:pPr>
            <w:r>
              <w:rPr>
                <w:sz w:val="24"/>
                <w:szCs w:val="24"/>
              </w:rPr>
              <w:t>Minimum of A rating,</w:t>
            </w:r>
          </w:p>
          <w:p w:rsidR="00B0225F" w:rsidRDefault="00B0225F" w:rsidP="00CE6856">
            <w:pPr>
              <w:rPr>
                <w:sz w:val="24"/>
                <w:szCs w:val="24"/>
              </w:rPr>
            </w:pPr>
            <w:r>
              <w:rPr>
                <w:sz w:val="24"/>
                <w:szCs w:val="24"/>
              </w:rPr>
              <w:t>5 years or less maturity</w:t>
            </w:r>
          </w:p>
        </w:tc>
        <w:tc>
          <w:tcPr>
            <w:tcW w:w="3117" w:type="dxa"/>
          </w:tcPr>
          <w:p w:rsidR="00B0225F" w:rsidRDefault="00B0225F" w:rsidP="00CE6856">
            <w:pPr>
              <w:rPr>
                <w:sz w:val="24"/>
                <w:szCs w:val="24"/>
              </w:rPr>
            </w:pPr>
            <w:r>
              <w:rPr>
                <w:sz w:val="24"/>
                <w:szCs w:val="24"/>
              </w:rPr>
              <w:t xml:space="preserve">5% in any single issue, </w:t>
            </w:r>
          </w:p>
          <w:p w:rsidR="00B0225F" w:rsidRDefault="00B0225F" w:rsidP="00CE6856">
            <w:pPr>
              <w:rPr>
                <w:sz w:val="24"/>
                <w:szCs w:val="24"/>
              </w:rPr>
            </w:pPr>
            <w:r>
              <w:rPr>
                <w:sz w:val="24"/>
                <w:szCs w:val="24"/>
              </w:rPr>
              <w:t>Maturity ladder</w:t>
            </w:r>
          </w:p>
        </w:tc>
      </w:tr>
      <w:tr w:rsidR="00B0225F" w:rsidTr="00B0225F">
        <w:tc>
          <w:tcPr>
            <w:tcW w:w="3116" w:type="dxa"/>
          </w:tcPr>
          <w:p w:rsidR="00B0225F" w:rsidRDefault="00B0225F" w:rsidP="00CE6856">
            <w:pPr>
              <w:rPr>
                <w:sz w:val="24"/>
                <w:szCs w:val="24"/>
              </w:rPr>
            </w:pPr>
            <w:r>
              <w:rPr>
                <w:sz w:val="24"/>
                <w:szCs w:val="24"/>
              </w:rPr>
              <w:t>Bank CDs</w:t>
            </w:r>
          </w:p>
        </w:tc>
        <w:tc>
          <w:tcPr>
            <w:tcW w:w="3117" w:type="dxa"/>
          </w:tcPr>
          <w:p w:rsidR="00B0225F" w:rsidRDefault="00B0225F" w:rsidP="00CE6856">
            <w:pPr>
              <w:rPr>
                <w:sz w:val="24"/>
                <w:szCs w:val="24"/>
              </w:rPr>
            </w:pPr>
            <w:r>
              <w:rPr>
                <w:sz w:val="24"/>
                <w:szCs w:val="24"/>
              </w:rPr>
              <w:t xml:space="preserve">5 year maximum maturity </w:t>
            </w:r>
          </w:p>
        </w:tc>
        <w:tc>
          <w:tcPr>
            <w:tcW w:w="3117" w:type="dxa"/>
          </w:tcPr>
          <w:p w:rsidR="00B0225F" w:rsidRDefault="00B0225F" w:rsidP="00CE6856">
            <w:pPr>
              <w:rPr>
                <w:sz w:val="24"/>
                <w:szCs w:val="24"/>
              </w:rPr>
            </w:pPr>
            <w:r>
              <w:rPr>
                <w:sz w:val="24"/>
                <w:szCs w:val="24"/>
              </w:rPr>
              <w:t>FDIC insured</w:t>
            </w:r>
          </w:p>
        </w:tc>
      </w:tr>
      <w:tr w:rsidR="00B0225F" w:rsidTr="00B0225F">
        <w:tc>
          <w:tcPr>
            <w:tcW w:w="3116" w:type="dxa"/>
          </w:tcPr>
          <w:p w:rsidR="00B0225F" w:rsidRDefault="00B0225F" w:rsidP="00CE6856">
            <w:pPr>
              <w:rPr>
                <w:sz w:val="24"/>
                <w:szCs w:val="24"/>
              </w:rPr>
            </w:pPr>
            <w:r>
              <w:rPr>
                <w:sz w:val="24"/>
                <w:szCs w:val="24"/>
              </w:rPr>
              <w:t>Municipal Debt</w:t>
            </w:r>
          </w:p>
        </w:tc>
        <w:tc>
          <w:tcPr>
            <w:tcW w:w="3117" w:type="dxa"/>
          </w:tcPr>
          <w:p w:rsidR="00B0225F" w:rsidRDefault="00B0225F" w:rsidP="00CE6856">
            <w:pPr>
              <w:rPr>
                <w:sz w:val="24"/>
                <w:szCs w:val="24"/>
              </w:rPr>
            </w:pPr>
            <w:r>
              <w:rPr>
                <w:sz w:val="24"/>
                <w:szCs w:val="24"/>
              </w:rPr>
              <w:t>5 years or less, minimum</w:t>
            </w:r>
          </w:p>
          <w:p w:rsidR="00B0225F" w:rsidRDefault="00B0225F" w:rsidP="00CE6856">
            <w:pPr>
              <w:rPr>
                <w:sz w:val="24"/>
                <w:szCs w:val="24"/>
              </w:rPr>
            </w:pPr>
            <w:r>
              <w:rPr>
                <w:sz w:val="24"/>
                <w:szCs w:val="24"/>
              </w:rPr>
              <w:t>Of an A Rating</w:t>
            </w:r>
          </w:p>
        </w:tc>
        <w:tc>
          <w:tcPr>
            <w:tcW w:w="3117" w:type="dxa"/>
          </w:tcPr>
          <w:p w:rsidR="00B0225F" w:rsidRDefault="00B0225F" w:rsidP="00CE6856">
            <w:pPr>
              <w:rPr>
                <w:sz w:val="24"/>
                <w:szCs w:val="24"/>
              </w:rPr>
            </w:pPr>
            <w:r>
              <w:rPr>
                <w:sz w:val="24"/>
                <w:szCs w:val="24"/>
              </w:rPr>
              <w:t>5% in any single issue</w:t>
            </w:r>
          </w:p>
          <w:p w:rsidR="00B0225F" w:rsidRDefault="00B0225F" w:rsidP="00CE6856">
            <w:pPr>
              <w:rPr>
                <w:sz w:val="24"/>
                <w:szCs w:val="24"/>
              </w:rPr>
            </w:pPr>
            <w:r>
              <w:rPr>
                <w:sz w:val="24"/>
                <w:szCs w:val="24"/>
              </w:rPr>
              <w:t>Maturity ladder</w:t>
            </w:r>
          </w:p>
        </w:tc>
      </w:tr>
    </w:tbl>
    <w:p w:rsidR="00B0225F" w:rsidRPr="00CE6856" w:rsidRDefault="00B0225F" w:rsidP="00CE6856">
      <w:pPr>
        <w:rPr>
          <w:sz w:val="24"/>
          <w:szCs w:val="24"/>
        </w:rPr>
      </w:pPr>
    </w:p>
    <w:p w:rsidR="00CE6856" w:rsidRDefault="00B0225F" w:rsidP="00843C7F">
      <w:pPr>
        <w:rPr>
          <w:sz w:val="24"/>
          <w:szCs w:val="24"/>
        </w:rPr>
      </w:pPr>
      <w:r>
        <w:rPr>
          <w:sz w:val="24"/>
          <w:szCs w:val="24"/>
        </w:rPr>
        <w:t xml:space="preserve">Corporate and municipal exposure in the aggregate will not exceed 50% at cost unless approved by the Endowment Committee. </w:t>
      </w:r>
    </w:p>
    <w:p w:rsidR="00B0225F" w:rsidRDefault="00B0225F" w:rsidP="00843C7F">
      <w:pPr>
        <w:rPr>
          <w:sz w:val="24"/>
          <w:szCs w:val="24"/>
        </w:rPr>
      </w:pPr>
      <w:r>
        <w:rPr>
          <w:sz w:val="24"/>
          <w:szCs w:val="24"/>
        </w:rPr>
        <w:t xml:space="preserve">In the event of </w:t>
      </w:r>
      <w:r w:rsidR="0069492D">
        <w:rPr>
          <w:sz w:val="24"/>
          <w:szCs w:val="24"/>
        </w:rPr>
        <w:t>a</w:t>
      </w:r>
      <w:r>
        <w:rPr>
          <w:sz w:val="24"/>
          <w:szCs w:val="24"/>
        </w:rPr>
        <w:t xml:space="preserve"> downgrade of a fixed income security below an A rating by either Moody’s or S&amp;P, the investment manager will inform the Endowment Committee in a timely manner and recommend a course of action. </w:t>
      </w:r>
    </w:p>
    <w:p w:rsidR="00B0225F" w:rsidRDefault="00B0225F" w:rsidP="00843C7F">
      <w:pPr>
        <w:rPr>
          <w:sz w:val="24"/>
          <w:szCs w:val="24"/>
        </w:rPr>
      </w:pPr>
      <w:r>
        <w:rPr>
          <w:sz w:val="24"/>
          <w:szCs w:val="24"/>
        </w:rPr>
        <w:t xml:space="preserve">The following individual securities are prohibited from purchase (except held inside mutual fund): </w:t>
      </w:r>
    </w:p>
    <w:p w:rsidR="00B0225F" w:rsidRDefault="00B0225F" w:rsidP="00B0225F">
      <w:pPr>
        <w:pStyle w:val="ListParagraph"/>
        <w:numPr>
          <w:ilvl w:val="0"/>
          <w:numId w:val="4"/>
        </w:numPr>
        <w:rPr>
          <w:sz w:val="24"/>
          <w:szCs w:val="24"/>
        </w:rPr>
      </w:pPr>
      <w:r>
        <w:rPr>
          <w:sz w:val="24"/>
          <w:szCs w:val="24"/>
        </w:rPr>
        <w:t>Eurodollar and any non-US dollar bond</w:t>
      </w:r>
    </w:p>
    <w:p w:rsidR="00B0225F" w:rsidRDefault="00B0225F" w:rsidP="00B0225F">
      <w:pPr>
        <w:pStyle w:val="ListParagraph"/>
        <w:numPr>
          <w:ilvl w:val="0"/>
          <w:numId w:val="4"/>
        </w:numPr>
        <w:rPr>
          <w:sz w:val="24"/>
          <w:szCs w:val="24"/>
        </w:rPr>
      </w:pPr>
      <w:r>
        <w:rPr>
          <w:sz w:val="24"/>
          <w:szCs w:val="24"/>
        </w:rPr>
        <w:t>Inverse Floaters</w:t>
      </w:r>
    </w:p>
    <w:p w:rsidR="00B0225F" w:rsidRDefault="00B0225F" w:rsidP="00B0225F">
      <w:pPr>
        <w:pStyle w:val="ListParagraph"/>
        <w:numPr>
          <w:ilvl w:val="0"/>
          <w:numId w:val="4"/>
        </w:numPr>
        <w:rPr>
          <w:sz w:val="24"/>
          <w:szCs w:val="24"/>
        </w:rPr>
      </w:pPr>
      <w:r>
        <w:rPr>
          <w:sz w:val="24"/>
          <w:szCs w:val="24"/>
        </w:rPr>
        <w:t>Support trances of CMO securities</w:t>
      </w:r>
    </w:p>
    <w:p w:rsidR="00B0225F" w:rsidRDefault="00B0225F" w:rsidP="00B0225F">
      <w:pPr>
        <w:pStyle w:val="ListParagraph"/>
        <w:numPr>
          <w:ilvl w:val="0"/>
          <w:numId w:val="4"/>
        </w:numPr>
        <w:rPr>
          <w:sz w:val="24"/>
          <w:szCs w:val="24"/>
        </w:rPr>
      </w:pPr>
      <w:r>
        <w:rPr>
          <w:sz w:val="24"/>
          <w:szCs w:val="24"/>
        </w:rPr>
        <w:t>Principal Only and Interest Only securities</w:t>
      </w:r>
    </w:p>
    <w:p w:rsidR="00B0225F" w:rsidRDefault="00B0225F" w:rsidP="00B0225F">
      <w:pPr>
        <w:pStyle w:val="ListParagraph"/>
        <w:numPr>
          <w:ilvl w:val="0"/>
          <w:numId w:val="4"/>
        </w:numPr>
        <w:rPr>
          <w:sz w:val="24"/>
          <w:szCs w:val="24"/>
        </w:rPr>
      </w:pPr>
      <w:r>
        <w:rPr>
          <w:sz w:val="24"/>
          <w:szCs w:val="24"/>
        </w:rPr>
        <w:t xml:space="preserve">Collateralized </w:t>
      </w:r>
      <w:r w:rsidR="0069492D">
        <w:rPr>
          <w:sz w:val="24"/>
          <w:szCs w:val="24"/>
        </w:rPr>
        <w:t>Mortgage</w:t>
      </w:r>
      <w:r>
        <w:rPr>
          <w:sz w:val="24"/>
          <w:szCs w:val="24"/>
        </w:rPr>
        <w:t xml:space="preserve"> Obligations</w:t>
      </w:r>
    </w:p>
    <w:p w:rsidR="00B0225F" w:rsidRDefault="00B0225F" w:rsidP="00B0225F">
      <w:pPr>
        <w:pStyle w:val="ListParagraph"/>
        <w:numPr>
          <w:ilvl w:val="0"/>
          <w:numId w:val="4"/>
        </w:numPr>
        <w:rPr>
          <w:sz w:val="24"/>
          <w:szCs w:val="24"/>
        </w:rPr>
      </w:pPr>
      <w:r>
        <w:rPr>
          <w:sz w:val="24"/>
          <w:szCs w:val="24"/>
        </w:rPr>
        <w:t>Bankers Acceptances</w:t>
      </w:r>
    </w:p>
    <w:p w:rsidR="00B0225F" w:rsidRDefault="00B0225F" w:rsidP="00B0225F">
      <w:pPr>
        <w:pStyle w:val="ListParagraph"/>
        <w:numPr>
          <w:ilvl w:val="0"/>
          <w:numId w:val="4"/>
        </w:numPr>
        <w:rPr>
          <w:sz w:val="24"/>
          <w:szCs w:val="24"/>
        </w:rPr>
      </w:pPr>
      <w:r>
        <w:rPr>
          <w:sz w:val="24"/>
          <w:szCs w:val="24"/>
        </w:rPr>
        <w:t>Commercial Paper</w:t>
      </w:r>
    </w:p>
    <w:p w:rsidR="004C1DFC" w:rsidRDefault="004C1DFC" w:rsidP="004C1DFC">
      <w:pPr>
        <w:rPr>
          <w:sz w:val="24"/>
          <w:szCs w:val="24"/>
        </w:rPr>
      </w:pPr>
    </w:p>
    <w:p w:rsidR="001C352D" w:rsidRDefault="001C352D" w:rsidP="004C1DFC">
      <w:pPr>
        <w:ind w:left="360"/>
        <w:rPr>
          <w:b/>
          <w:sz w:val="24"/>
          <w:szCs w:val="24"/>
        </w:rPr>
      </w:pPr>
    </w:p>
    <w:p w:rsidR="001C352D" w:rsidRDefault="001C352D" w:rsidP="004C1DFC">
      <w:pPr>
        <w:ind w:left="360"/>
        <w:rPr>
          <w:b/>
          <w:sz w:val="24"/>
          <w:szCs w:val="24"/>
        </w:rPr>
      </w:pPr>
    </w:p>
    <w:p w:rsidR="001C352D" w:rsidRDefault="001C352D" w:rsidP="004C1DFC">
      <w:pPr>
        <w:ind w:left="360"/>
        <w:rPr>
          <w:b/>
          <w:sz w:val="24"/>
          <w:szCs w:val="24"/>
        </w:rPr>
      </w:pPr>
    </w:p>
    <w:p w:rsidR="004C1DFC" w:rsidRPr="001C352D" w:rsidRDefault="004C1DFC" w:rsidP="001C352D">
      <w:pPr>
        <w:ind w:left="360"/>
        <w:jc w:val="center"/>
        <w:rPr>
          <w:rFonts w:ascii="Times New Roman" w:hAnsi="Times New Roman" w:cs="Times New Roman"/>
          <w:b/>
          <w:sz w:val="24"/>
          <w:szCs w:val="24"/>
        </w:rPr>
      </w:pPr>
      <w:r w:rsidRPr="001C352D">
        <w:rPr>
          <w:rFonts w:ascii="Times New Roman" w:hAnsi="Times New Roman" w:cs="Times New Roman"/>
          <w:b/>
          <w:sz w:val="24"/>
          <w:szCs w:val="24"/>
        </w:rPr>
        <w:t>Long Term Horizon</w:t>
      </w:r>
    </w:p>
    <w:p w:rsidR="004C1DFC" w:rsidRPr="001C352D" w:rsidRDefault="004C1DFC" w:rsidP="004C1DFC">
      <w:pPr>
        <w:ind w:left="360"/>
        <w:rPr>
          <w:b/>
          <w:sz w:val="24"/>
          <w:szCs w:val="24"/>
        </w:rPr>
      </w:pPr>
      <w:r w:rsidRPr="001C352D">
        <w:rPr>
          <w:b/>
          <w:sz w:val="24"/>
          <w:szCs w:val="24"/>
        </w:rPr>
        <w:t xml:space="preserve">Purpose: </w:t>
      </w:r>
    </w:p>
    <w:p w:rsidR="004C1DFC" w:rsidRDefault="004C1DFC" w:rsidP="004C1DFC">
      <w:pPr>
        <w:ind w:left="360"/>
        <w:rPr>
          <w:sz w:val="24"/>
          <w:szCs w:val="24"/>
        </w:rPr>
      </w:pPr>
      <w:r>
        <w:rPr>
          <w:sz w:val="24"/>
          <w:szCs w:val="24"/>
        </w:rPr>
        <w:t xml:space="preserve">Investments will maximize returns on funds designated to meet capital expenditure needs and longer term requirements. The focus will be to produce returns within an acceptable level of risk that reduces the impact of purchasing </w:t>
      </w:r>
      <w:r w:rsidR="0069492D">
        <w:rPr>
          <w:sz w:val="24"/>
          <w:szCs w:val="24"/>
        </w:rPr>
        <w:t>power</w:t>
      </w:r>
      <w:r>
        <w:rPr>
          <w:sz w:val="24"/>
          <w:szCs w:val="24"/>
        </w:rPr>
        <w:t xml:space="preserve"> risk (inflation).</w:t>
      </w:r>
    </w:p>
    <w:p w:rsidR="004C1DFC" w:rsidRPr="001C352D" w:rsidRDefault="0069492D" w:rsidP="004C1DFC">
      <w:pPr>
        <w:ind w:left="360"/>
        <w:rPr>
          <w:b/>
          <w:sz w:val="24"/>
          <w:szCs w:val="24"/>
        </w:rPr>
      </w:pPr>
      <w:r w:rsidRPr="001C352D">
        <w:rPr>
          <w:b/>
          <w:sz w:val="24"/>
          <w:szCs w:val="24"/>
        </w:rPr>
        <w:t>Assets</w:t>
      </w:r>
      <w:r w:rsidR="004C1DFC" w:rsidRPr="001C352D">
        <w:rPr>
          <w:b/>
          <w:sz w:val="24"/>
          <w:szCs w:val="24"/>
        </w:rPr>
        <w:t xml:space="preserve"> Allocations: </w:t>
      </w:r>
    </w:p>
    <w:p w:rsidR="004C1DFC" w:rsidRDefault="004C1DFC" w:rsidP="004C1DFC">
      <w:pPr>
        <w:ind w:left="360"/>
        <w:rPr>
          <w:sz w:val="24"/>
          <w:szCs w:val="24"/>
        </w:rPr>
      </w:pPr>
      <w:r>
        <w:rPr>
          <w:sz w:val="24"/>
          <w:szCs w:val="24"/>
        </w:rPr>
        <w:t xml:space="preserve">The portfolio will be allocated as follows: </w:t>
      </w:r>
    </w:p>
    <w:tbl>
      <w:tblPr>
        <w:tblStyle w:val="TableGrid"/>
        <w:tblW w:w="0" w:type="auto"/>
        <w:tblInd w:w="360" w:type="dxa"/>
        <w:tblLook w:val="04A0" w:firstRow="1" w:lastRow="0" w:firstColumn="1" w:lastColumn="0" w:noHBand="0" w:noVBand="1"/>
      </w:tblPr>
      <w:tblGrid>
        <w:gridCol w:w="2987"/>
        <w:gridCol w:w="2987"/>
        <w:gridCol w:w="3016"/>
      </w:tblGrid>
      <w:tr w:rsidR="004C1DFC" w:rsidTr="004C1DFC">
        <w:tc>
          <w:tcPr>
            <w:tcW w:w="2987" w:type="dxa"/>
          </w:tcPr>
          <w:p w:rsidR="004C1DFC" w:rsidRDefault="004C1DFC" w:rsidP="004C1DFC">
            <w:pPr>
              <w:rPr>
                <w:sz w:val="24"/>
                <w:szCs w:val="24"/>
              </w:rPr>
            </w:pPr>
          </w:p>
        </w:tc>
        <w:tc>
          <w:tcPr>
            <w:tcW w:w="2987" w:type="dxa"/>
          </w:tcPr>
          <w:p w:rsidR="004C1DFC" w:rsidRDefault="004C1DFC" w:rsidP="004C1DFC">
            <w:pPr>
              <w:rPr>
                <w:sz w:val="24"/>
                <w:szCs w:val="24"/>
              </w:rPr>
            </w:pPr>
            <w:r>
              <w:rPr>
                <w:sz w:val="24"/>
                <w:szCs w:val="24"/>
              </w:rPr>
              <w:t>TARGET</w:t>
            </w:r>
          </w:p>
        </w:tc>
        <w:tc>
          <w:tcPr>
            <w:tcW w:w="3016" w:type="dxa"/>
          </w:tcPr>
          <w:p w:rsidR="004C1DFC" w:rsidRDefault="004C1DFC" w:rsidP="004C1DFC">
            <w:pPr>
              <w:rPr>
                <w:sz w:val="24"/>
                <w:szCs w:val="24"/>
              </w:rPr>
            </w:pPr>
            <w:r>
              <w:rPr>
                <w:sz w:val="24"/>
                <w:szCs w:val="24"/>
              </w:rPr>
              <w:t>ACCEPTABLE RANGE</w:t>
            </w:r>
          </w:p>
        </w:tc>
      </w:tr>
      <w:tr w:rsidR="004C1DFC" w:rsidTr="004C1DFC">
        <w:tc>
          <w:tcPr>
            <w:tcW w:w="2987" w:type="dxa"/>
          </w:tcPr>
          <w:p w:rsidR="004C1DFC" w:rsidRDefault="004C1DFC" w:rsidP="004C1DFC">
            <w:pPr>
              <w:rPr>
                <w:sz w:val="24"/>
                <w:szCs w:val="24"/>
              </w:rPr>
            </w:pPr>
            <w:r>
              <w:rPr>
                <w:sz w:val="24"/>
                <w:szCs w:val="24"/>
              </w:rPr>
              <w:t>Equities</w:t>
            </w:r>
          </w:p>
        </w:tc>
        <w:tc>
          <w:tcPr>
            <w:tcW w:w="2987" w:type="dxa"/>
          </w:tcPr>
          <w:p w:rsidR="004C1DFC" w:rsidRDefault="004C1DFC" w:rsidP="004C1DFC">
            <w:pPr>
              <w:rPr>
                <w:sz w:val="24"/>
                <w:szCs w:val="24"/>
              </w:rPr>
            </w:pPr>
            <w:r>
              <w:rPr>
                <w:sz w:val="24"/>
                <w:szCs w:val="24"/>
              </w:rPr>
              <w:t>60%</w:t>
            </w:r>
          </w:p>
        </w:tc>
        <w:tc>
          <w:tcPr>
            <w:tcW w:w="3016" w:type="dxa"/>
          </w:tcPr>
          <w:p w:rsidR="004C1DFC" w:rsidRDefault="004C1DFC" w:rsidP="004C1DFC">
            <w:pPr>
              <w:rPr>
                <w:sz w:val="24"/>
                <w:szCs w:val="24"/>
              </w:rPr>
            </w:pPr>
            <w:r>
              <w:rPr>
                <w:sz w:val="24"/>
                <w:szCs w:val="24"/>
              </w:rPr>
              <w:t>50-70%</w:t>
            </w:r>
          </w:p>
        </w:tc>
      </w:tr>
      <w:tr w:rsidR="004C1DFC" w:rsidTr="004C1DFC">
        <w:tc>
          <w:tcPr>
            <w:tcW w:w="2987" w:type="dxa"/>
          </w:tcPr>
          <w:p w:rsidR="004C1DFC" w:rsidRDefault="004C1DFC" w:rsidP="004C1DFC">
            <w:pPr>
              <w:rPr>
                <w:sz w:val="24"/>
                <w:szCs w:val="24"/>
              </w:rPr>
            </w:pPr>
            <w:r>
              <w:rPr>
                <w:sz w:val="24"/>
                <w:szCs w:val="24"/>
              </w:rPr>
              <w:t>Fixed Income</w:t>
            </w:r>
          </w:p>
        </w:tc>
        <w:tc>
          <w:tcPr>
            <w:tcW w:w="2987" w:type="dxa"/>
          </w:tcPr>
          <w:p w:rsidR="004C1DFC" w:rsidRDefault="004C1DFC" w:rsidP="004C1DFC">
            <w:pPr>
              <w:rPr>
                <w:sz w:val="24"/>
                <w:szCs w:val="24"/>
              </w:rPr>
            </w:pPr>
            <w:r>
              <w:rPr>
                <w:sz w:val="24"/>
                <w:szCs w:val="24"/>
              </w:rPr>
              <w:t>40%</w:t>
            </w:r>
          </w:p>
        </w:tc>
        <w:tc>
          <w:tcPr>
            <w:tcW w:w="3016" w:type="dxa"/>
          </w:tcPr>
          <w:p w:rsidR="004C1DFC" w:rsidRDefault="004C1DFC" w:rsidP="004C1DFC">
            <w:pPr>
              <w:rPr>
                <w:sz w:val="24"/>
                <w:szCs w:val="24"/>
              </w:rPr>
            </w:pPr>
            <w:r>
              <w:rPr>
                <w:sz w:val="24"/>
                <w:szCs w:val="24"/>
              </w:rPr>
              <w:t>30-50%</w:t>
            </w:r>
          </w:p>
        </w:tc>
      </w:tr>
      <w:tr w:rsidR="004C1DFC" w:rsidTr="004C1DFC">
        <w:tc>
          <w:tcPr>
            <w:tcW w:w="2987" w:type="dxa"/>
          </w:tcPr>
          <w:p w:rsidR="004C1DFC" w:rsidRDefault="004C1DFC" w:rsidP="004C1DFC">
            <w:pPr>
              <w:rPr>
                <w:sz w:val="24"/>
                <w:szCs w:val="24"/>
              </w:rPr>
            </w:pPr>
            <w:r>
              <w:rPr>
                <w:sz w:val="24"/>
                <w:szCs w:val="24"/>
              </w:rPr>
              <w:t>Cash</w:t>
            </w:r>
          </w:p>
        </w:tc>
        <w:tc>
          <w:tcPr>
            <w:tcW w:w="2987" w:type="dxa"/>
          </w:tcPr>
          <w:p w:rsidR="004C1DFC" w:rsidRDefault="004C1DFC" w:rsidP="004C1DFC">
            <w:pPr>
              <w:rPr>
                <w:sz w:val="24"/>
                <w:szCs w:val="24"/>
              </w:rPr>
            </w:pPr>
            <w:r>
              <w:rPr>
                <w:sz w:val="24"/>
                <w:szCs w:val="24"/>
              </w:rPr>
              <w:t>0%</w:t>
            </w:r>
          </w:p>
        </w:tc>
        <w:tc>
          <w:tcPr>
            <w:tcW w:w="3016" w:type="dxa"/>
          </w:tcPr>
          <w:p w:rsidR="004C1DFC" w:rsidRDefault="004C1DFC" w:rsidP="004C1DFC">
            <w:pPr>
              <w:rPr>
                <w:sz w:val="24"/>
                <w:szCs w:val="24"/>
              </w:rPr>
            </w:pPr>
            <w:r>
              <w:rPr>
                <w:sz w:val="24"/>
                <w:szCs w:val="24"/>
              </w:rPr>
              <w:t>0-20%</w:t>
            </w:r>
          </w:p>
        </w:tc>
      </w:tr>
    </w:tbl>
    <w:p w:rsidR="004C1DFC" w:rsidRDefault="004C1DFC" w:rsidP="004C1DFC">
      <w:pPr>
        <w:ind w:left="360"/>
        <w:rPr>
          <w:sz w:val="24"/>
          <w:szCs w:val="24"/>
        </w:rPr>
      </w:pPr>
    </w:p>
    <w:p w:rsidR="004C1DFC" w:rsidRPr="001C352D" w:rsidRDefault="004C1DFC" w:rsidP="004C1DFC">
      <w:pPr>
        <w:ind w:left="360"/>
        <w:rPr>
          <w:b/>
          <w:sz w:val="24"/>
          <w:szCs w:val="24"/>
        </w:rPr>
      </w:pPr>
      <w:r w:rsidRPr="001C352D">
        <w:rPr>
          <w:b/>
          <w:sz w:val="24"/>
          <w:szCs w:val="24"/>
        </w:rPr>
        <w:t xml:space="preserve">Rebalance: </w:t>
      </w:r>
    </w:p>
    <w:p w:rsidR="004C1DFC" w:rsidRPr="001C352D" w:rsidRDefault="004C1DFC" w:rsidP="004C1DFC">
      <w:pPr>
        <w:ind w:left="360"/>
        <w:rPr>
          <w:b/>
          <w:sz w:val="24"/>
          <w:szCs w:val="24"/>
        </w:rPr>
      </w:pPr>
      <w:r w:rsidRPr="001C352D">
        <w:rPr>
          <w:b/>
          <w:sz w:val="24"/>
          <w:szCs w:val="24"/>
        </w:rPr>
        <w:t xml:space="preserve">Return Objective: </w:t>
      </w:r>
    </w:p>
    <w:p w:rsidR="004C1DFC" w:rsidRDefault="004C1DFC" w:rsidP="004C1DFC">
      <w:pPr>
        <w:ind w:left="360"/>
        <w:rPr>
          <w:sz w:val="24"/>
          <w:szCs w:val="24"/>
        </w:rPr>
      </w:pPr>
      <w:r>
        <w:rPr>
          <w:sz w:val="24"/>
          <w:szCs w:val="24"/>
        </w:rPr>
        <w:t xml:space="preserve">The portfolio is expected to produce a return in excess of the following composite: </w:t>
      </w:r>
    </w:p>
    <w:p w:rsidR="004C1DFC" w:rsidRDefault="004C1DFC" w:rsidP="004C1DFC">
      <w:pPr>
        <w:ind w:left="360"/>
        <w:rPr>
          <w:sz w:val="24"/>
          <w:szCs w:val="24"/>
        </w:rPr>
      </w:pPr>
      <w:r>
        <w:rPr>
          <w:sz w:val="24"/>
          <w:szCs w:val="24"/>
        </w:rPr>
        <w:t>S&amp;P 500 Index</w:t>
      </w:r>
      <w:r>
        <w:rPr>
          <w:sz w:val="24"/>
          <w:szCs w:val="24"/>
        </w:rPr>
        <w:tab/>
      </w:r>
      <w:r>
        <w:rPr>
          <w:sz w:val="24"/>
          <w:szCs w:val="24"/>
        </w:rPr>
        <w:tab/>
      </w:r>
      <w:r>
        <w:rPr>
          <w:sz w:val="24"/>
          <w:szCs w:val="24"/>
        </w:rPr>
        <w:tab/>
      </w:r>
      <w:r>
        <w:rPr>
          <w:sz w:val="24"/>
          <w:szCs w:val="24"/>
        </w:rPr>
        <w:tab/>
      </w:r>
      <w:r>
        <w:rPr>
          <w:sz w:val="24"/>
          <w:szCs w:val="24"/>
        </w:rPr>
        <w:tab/>
        <w:t>48%</w:t>
      </w:r>
    </w:p>
    <w:p w:rsidR="004C1DFC" w:rsidRDefault="004C1DFC" w:rsidP="004C1DFC">
      <w:pPr>
        <w:ind w:left="360"/>
        <w:rPr>
          <w:sz w:val="24"/>
          <w:szCs w:val="24"/>
        </w:rPr>
      </w:pPr>
      <w:r>
        <w:rPr>
          <w:sz w:val="24"/>
          <w:szCs w:val="24"/>
        </w:rPr>
        <w:t>MSCI EAFE Index</w:t>
      </w:r>
      <w:r>
        <w:rPr>
          <w:sz w:val="24"/>
          <w:szCs w:val="24"/>
        </w:rPr>
        <w:tab/>
      </w:r>
      <w:r>
        <w:rPr>
          <w:sz w:val="24"/>
          <w:szCs w:val="24"/>
        </w:rPr>
        <w:tab/>
      </w:r>
      <w:r>
        <w:rPr>
          <w:sz w:val="24"/>
          <w:szCs w:val="24"/>
        </w:rPr>
        <w:tab/>
      </w:r>
      <w:r>
        <w:rPr>
          <w:sz w:val="24"/>
          <w:szCs w:val="24"/>
        </w:rPr>
        <w:tab/>
      </w:r>
      <w:r>
        <w:rPr>
          <w:sz w:val="24"/>
          <w:szCs w:val="24"/>
        </w:rPr>
        <w:tab/>
        <w:t>12%</w:t>
      </w:r>
    </w:p>
    <w:p w:rsidR="004C1DFC" w:rsidRDefault="004C1DFC" w:rsidP="004C1DFC">
      <w:pPr>
        <w:ind w:left="360"/>
        <w:rPr>
          <w:sz w:val="24"/>
          <w:szCs w:val="24"/>
        </w:rPr>
      </w:pPr>
      <w:r>
        <w:rPr>
          <w:sz w:val="24"/>
          <w:szCs w:val="24"/>
        </w:rPr>
        <w:t>Barclay’s Bond Index</w:t>
      </w:r>
      <w:r>
        <w:rPr>
          <w:sz w:val="24"/>
          <w:szCs w:val="24"/>
        </w:rPr>
        <w:tab/>
      </w:r>
      <w:r>
        <w:rPr>
          <w:sz w:val="24"/>
          <w:szCs w:val="24"/>
        </w:rPr>
        <w:tab/>
      </w:r>
      <w:r>
        <w:rPr>
          <w:sz w:val="24"/>
          <w:szCs w:val="24"/>
        </w:rPr>
        <w:tab/>
      </w:r>
      <w:r>
        <w:rPr>
          <w:sz w:val="24"/>
          <w:szCs w:val="24"/>
        </w:rPr>
        <w:tab/>
        <w:t>35%</w:t>
      </w:r>
    </w:p>
    <w:p w:rsidR="004C1DFC" w:rsidRDefault="004C1DFC" w:rsidP="004C1DFC">
      <w:pPr>
        <w:ind w:left="360"/>
        <w:rPr>
          <w:sz w:val="24"/>
          <w:szCs w:val="24"/>
        </w:rPr>
      </w:pPr>
      <w:r>
        <w:rPr>
          <w:sz w:val="24"/>
          <w:szCs w:val="24"/>
        </w:rPr>
        <w:t>90 day U.S. Treasury Bills</w:t>
      </w:r>
      <w:r>
        <w:rPr>
          <w:sz w:val="24"/>
          <w:szCs w:val="24"/>
        </w:rPr>
        <w:tab/>
      </w:r>
      <w:r>
        <w:rPr>
          <w:sz w:val="24"/>
          <w:szCs w:val="24"/>
        </w:rPr>
        <w:tab/>
      </w:r>
      <w:r>
        <w:rPr>
          <w:sz w:val="24"/>
          <w:szCs w:val="24"/>
        </w:rPr>
        <w:tab/>
      </w:r>
      <w:r>
        <w:rPr>
          <w:sz w:val="24"/>
          <w:szCs w:val="24"/>
        </w:rPr>
        <w:tab/>
        <w:t xml:space="preserve"> 5%</w:t>
      </w:r>
    </w:p>
    <w:p w:rsidR="004C1DFC" w:rsidRDefault="004C1DFC" w:rsidP="004C1DFC">
      <w:pPr>
        <w:ind w:left="360"/>
        <w:rPr>
          <w:sz w:val="24"/>
          <w:szCs w:val="24"/>
        </w:rPr>
      </w:pPr>
      <w:r>
        <w:rPr>
          <w:sz w:val="24"/>
          <w:szCs w:val="24"/>
        </w:rPr>
        <w:t xml:space="preserve">Unless the manager’s results are significantly below expectations, the period for evaluation will include a complete market cycle, generally 3 to 5 years. </w:t>
      </w:r>
    </w:p>
    <w:p w:rsidR="004C1DFC" w:rsidRDefault="004C1DFC" w:rsidP="004C1DFC">
      <w:pPr>
        <w:ind w:left="360"/>
        <w:rPr>
          <w:sz w:val="24"/>
          <w:szCs w:val="24"/>
        </w:rPr>
      </w:pPr>
      <w:r>
        <w:rPr>
          <w:sz w:val="24"/>
          <w:szCs w:val="24"/>
        </w:rPr>
        <w:t xml:space="preserve">The Endowment Committee will review the asset allocation on a quarterly basis and will at least annually evaluate the need for rebalancing the portfolio. The standard for consideration of rebalancing would be greater than 10% variance from the target allocation. For the committee to rebalance, the motion shall </w:t>
      </w:r>
      <w:r w:rsidR="0069492D">
        <w:rPr>
          <w:sz w:val="24"/>
          <w:szCs w:val="24"/>
        </w:rPr>
        <w:t>be</w:t>
      </w:r>
      <w:r>
        <w:rPr>
          <w:sz w:val="24"/>
          <w:szCs w:val="24"/>
        </w:rPr>
        <w:t xml:space="preserve"> approved by the Board. </w:t>
      </w:r>
    </w:p>
    <w:p w:rsidR="004C1DFC" w:rsidRPr="001C352D" w:rsidRDefault="004C1DFC" w:rsidP="004C1DFC">
      <w:pPr>
        <w:ind w:left="360"/>
        <w:rPr>
          <w:b/>
          <w:sz w:val="24"/>
          <w:szCs w:val="24"/>
        </w:rPr>
      </w:pPr>
      <w:r w:rsidRPr="001C352D">
        <w:rPr>
          <w:b/>
          <w:sz w:val="24"/>
          <w:szCs w:val="24"/>
        </w:rPr>
        <w:t xml:space="preserve">Time Horizon: </w:t>
      </w:r>
    </w:p>
    <w:p w:rsidR="004C1DFC" w:rsidRDefault="004C1DFC" w:rsidP="004C1DFC">
      <w:pPr>
        <w:ind w:left="360"/>
        <w:rPr>
          <w:sz w:val="24"/>
          <w:szCs w:val="24"/>
        </w:rPr>
      </w:pPr>
      <w:r>
        <w:rPr>
          <w:sz w:val="24"/>
          <w:szCs w:val="24"/>
        </w:rPr>
        <w:t xml:space="preserve">The portfolio’s time horizon for investments is expected to be greater than 5 years. </w:t>
      </w:r>
    </w:p>
    <w:p w:rsidR="004C1DFC" w:rsidRPr="001C352D" w:rsidRDefault="004C1DFC" w:rsidP="004C1DFC">
      <w:pPr>
        <w:ind w:left="360"/>
        <w:rPr>
          <w:b/>
          <w:sz w:val="24"/>
          <w:szCs w:val="24"/>
        </w:rPr>
      </w:pPr>
      <w:r w:rsidRPr="001C352D">
        <w:rPr>
          <w:b/>
          <w:sz w:val="24"/>
          <w:szCs w:val="24"/>
        </w:rPr>
        <w:t xml:space="preserve">Most Important Risk Factor: </w:t>
      </w:r>
    </w:p>
    <w:p w:rsidR="004C1DFC" w:rsidRDefault="004C1DFC" w:rsidP="004C1DFC">
      <w:pPr>
        <w:ind w:left="360"/>
        <w:rPr>
          <w:sz w:val="24"/>
          <w:szCs w:val="24"/>
        </w:rPr>
      </w:pPr>
      <w:r>
        <w:rPr>
          <w:sz w:val="24"/>
          <w:szCs w:val="24"/>
        </w:rPr>
        <w:t>Purchasing power risk (inflation)</w:t>
      </w:r>
    </w:p>
    <w:p w:rsidR="004C1DFC" w:rsidRPr="001C352D" w:rsidRDefault="004C1DFC" w:rsidP="004C1DFC">
      <w:pPr>
        <w:ind w:left="360"/>
        <w:rPr>
          <w:b/>
          <w:sz w:val="24"/>
          <w:szCs w:val="24"/>
        </w:rPr>
      </w:pPr>
      <w:r w:rsidRPr="001C352D">
        <w:rPr>
          <w:b/>
          <w:sz w:val="24"/>
          <w:szCs w:val="24"/>
        </w:rPr>
        <w:t>Appropriate Investments:</w:t>
      </w:r>
    </w:p>
    <w:p w:rsidR="004C1DFC" w:rsidRDefault="004C1DFC" w:rsidP="004C1DFC">
      <w:pPr>
        <w:ind w:left="360"/>
        <w:rPr>
          <w:sz w:val="24"/>
          <w:szCs w:val="24"/>
        </w:rPr>
      </w:pPr>
      <w:r>
        <w:rPr>
          <w:sz w:val="24"/>
          <w:szCs w:val="24"/>
        </w:rPr>
        <w:lastRenderedPageBreak/>
        <w:t>Please see the following page.</w:t>
      </w:r>
    </w:p>
    <w:p w:rsidR="004C1DFC" w:rsidRPr="001C352D" w:rsidRDefault="004C1DFC" w:rsidP="004C1DFC">
      <w:pPr>
        <w:ind w:left="360"/>
        <w:rPr>
          <w:b/>
          <w:sz w:val="24"/>
          <w:szCs w:val="24"/>
        </w:rPr>
      </w:pPr>
      <w:r w:rsidRPr="001C352D">
        <w:rPr>
          <w:b/>
          <w:sz w:val="24"/>
          <w:szCs w:val="24"/>
        </w:rPr>
        <w:t xml:space="preserve">Liquidity: </w:t>
      </w:r>
    </w:p>
    <w:p w:rsidR="004C1DFC" w:rsidRDefault="004C1DFC" w:rsidP="004C1DFC">
      <w:pPr>
        <w:ind w:left="360"/>
        <w:rPr>
          <w:sz w:val="24"/>
          <w:szCs w:val="24"/>
        </w:rPr>
      </w:pPr>
      <w:r>
        <w:rPr>
          <w:sz w:val="24"/>
          <w:szCs w:val="24"/>
        </w:rPr>
        <w:t xml:space="preserve">Liquidity needs will generally be used for strategic rebalancing of the portfolio. </w:t>
      </w:r>
    </w:p>
    <w:p w:rsidR="004C1DFC" w:rsidRPr="001C352D" w:rsidRDefault="004C1DFC" w:rsidP="004C1DFC">
      <w:pPr>
        <w:ind w:left="360"/>
        <w:rPr>
          <w:b/>
          <w:sz w:val="24"/>
          <w:szCs w:val="24"/>
        </w:rPr>
      </w:pPr>
      <w:r w:rsidRPr="001C352D">
        <w:rPr>
          <w:b/>
          <w:sz w:val="24"/>
          <w:szCs w:val="24"/>
        </w:rPr>
        <w:t xml:space="preserve">Market Value Fluctuations: </w:t>
      </w:r>
    </w:p>
    <w:p w:rsidR="004C1DFC" w:rsidRDefault="004C1DFC" w:rsidP="004C1DFC">
      <w:pPr>
        <w:ind w:left="360"/>
        <w:rPr>
          <w:sz w:val="24"/>
          <w:szCs w:val="24"/>
        </w:rPr>
      </w:pPr>
      <w:r>
        <w:rPr>
          <w:sz w:val="24"/>
          <w:szCs w:val="24"/>
        </w:rPr>
        <w:t xml:space="preserve">It is understood that fluctuating rates of return are characteristic of the </w:t>
      </w:r>
      <w:r w:rsidR="0069492D">
        <w:rPr>
          <w:sz w:val="24"/>
          <w:szCs w:val="24"/>
        </w:rPr>
        <w:t>equity</w:t>
      </w:r>
      <w:r>
        <w:rPr>
          <w:sz w:val="24"/>
          <w:szCs w:val="24"/>
        </w:rPr>
        <w:t xml:space="preserve"> markets. However, the greatest concern should be long-term appreciation and consistency of </w:t>
      </w:r>
      <w:r w:rsidR="0069492D">
        <w:rPr>
          <w:sz w:val="24"/>
          <w:szCs w:val="24"/>
        </w:rPr>
        <w:t>retunes</w:t>
      </w:r>
      <w:r>
        <w:rPr>
          <w:sz w:val="24"/>
          <w:szCs w:val="24"/>
        </w:rPr>
        <w:t xml:space="preserve"> with no greater than market risk. </w:t>
      </w:r>
    </w:p>
    <w:p w:rsidR="004C1DFC" w:rsidRPr="001C352D" w:rsidRDefault="004C1DFC" w:rsidP="001C352D">
      <w:pPr>
        <w:ind w:left="360"/>
        <w:jc w:val="center"/>
        <w:rPr>
          <w:b/>
          <w:sz w:val="24"/>
          <w:szCs w:val="24"/>
        </w:rPr>
      </w:pPr>
      <w:r w:rsidRPr="001C352D">
        <w:rPr>
          <w:b/>
          <w:sz w:val="24"/>
          <w:szCs w:val="24"/>
        </w:rPr>
        <w:t>Long Term Horizon</w:t>
      </w:r>
    </w:p>
    <w:p w:rsidR="004C1DFC" w:rsidRPr="001C352D" w:rsidRDefault="004C1DFC" w:rsidP="004C1DFC">
      <w:pPr>
        <w:ind w:left="360"/>
        <w:rPr>
          <w:b/>
          <w:sz w:val="24"/>
          <w:szCs w:val="24"/>
        </w:rPr>
      </w:pPr>
      <w:r w:rsidRPr="001C352D">
        <w:rPr>
          <w:b/>
          <w:sz w:val="24"/>
          <w:szCs w:val="24"/>
        </w:rPr>
        <w:t>Appropriate Investments:</w:t>
      </w:r>
    </w:p>
    <w:p w:rsidR="004C1DFC" w:rsidRPr="001C352D" w:rsidRDefault="0069492D" w:rsidP="004C1DFC">
      <w:pPr>
        <w:ind w:left="360"/>
        <w:rPr>
          <w:b/>
          <w:sz w:val="24"/>
          <w:szCs w:val="24"/>
        </w:rPr>
      </w:pPr>
      <w:r w:rsidRPr="001C352D">
        <w:rPr>
          <w:b/>
          <w:sz w:val="24"/>
          <w:szCs w:val="24"/>
        </w:rPr>
        <w:t>Equities</w:t>
      </w:r>
      <w:r w:rsidR="004C1DFC" w:rsidRPr="001C352D">
        <w:rPr>
          <w:b/>
          <w:sz w:val="24"/>
          <w:szCs w:val="24"/>
        </w:rPr>
        <w:t xml:space="preserve">: </w:t>
      </w:r>
    </w:p>
    <w:p w:rsidR="004C1DFC" w:rsidRDefault="004C1DFC" w:rsidP="004C1DFC">
      <w:pPr>
        <w:ind w:left="360"/>
        <w:rPr>
          <w:sz w:val="24"/>
          <w:szCs w:val="24"/>
        </w:rPr>
      </w:pPr>
      <w:r>
        <w:rPr>
          <w:sz w:val="24"/>
          <w:szCs w:val="24"/>
        </w:rPr>
        <w:t xml:space="preserve">A majority of the equity portfolio is to be invested in large capitalization companies from developed markets in a balanced and diversified manner. Smaller capitalization companies and developing markets may be used to complement the core portfolio in a risk controlled manner. </w:t>
      </w:r>
    </w:p>
    <w:p w:rsidR="004C1DFC" w:rsidRDefault="004C1DFC" w:rsidP="004C1DFC">
      <w:pPr>
        <w:ind w:left="360"/>
        <w:rPr>
          <w:sz w:val="24"/>
          <w:szCs w:val="24"/>
        </w:rPr>
      </w:pPr>
      <w:r>
        <w:rPr>
          <w:sz w:val="24"/>
          <w:szCs w:val="24"/>
        </w:rPr>
        <w:t xml:space="preserve">Individual issues may not exceed 7% of the portfolio at cost unless an exception is recommended by the Endowment Committee and approved by the Board. </w:t>
      </w:r>
    </w:p>
    <w:p w:rsidR="004C1DFC" w:rsidRDefault="004C1DFC" w:rsidP="004C1DFC">
      <w:pPr>
        <w:ind w:left="360"/>
        <w:rPr>
          <w:sz w:val="24"/>
          <w:szCs w:val="24"/>
        </w:rPr>
      </w:pPr>
      <w:r>
        <w:rPr>
          <w:sz w:val="24"/>
          <w:szCs w:val="24"/>
        </w:rPr>
        <w:t xml:space="preserve">No more than 25% of the </w:t>
      </w:r>
      <w:r w:rsidR="0069492D">
        <w:rPr>
          <w:sz w:val="24"/>
          <w:szCs w:val="24"/>
        </w:rPr>
        <w:t>portfolio</w:t>
      </w:r>
      <w:r>
        <w:rPr>
          <w:sz w:val="24"/>
          <w:szCs w:val="24"/>
        </w:rPr>
        <w:t xml:space="preserve"> may be invested in a single industry </w:t>
      </w:r>
      <w:r w:rsidR="0069492D">
        <w:rPr>
          <w:sz w:val="24"/>
          <w:szCs w:val="24"/>
        </w:rPr>
        <w:t>and no</w:t>
      </w:r>
      <w:r>
        <w:rPr>
          <w:sz w:val="24"/>
          <w:szCs w:val="24"/>
        </w:rPr>
        <w:t xml:space="preserve"> more than 35% of the portfolio may be invested in a single sector. Short sales, margin, leverage, listed options, restricted issues, and any derivative issue shall not be used as an investment vehicle. </w:t>
      </w:r>
    </w:p>
    <w:p w:rsidR="004C1DFC" w:rsidRDefault="004C1DFC" w:rsidP="004C1DFC">
      <w:pPr>
        <w:ind w:left="360"/>
        <w:rPr>
          <w:sz w:val="24"/>
          <w:szCs w:val="24"/>
        </w:rPr>
      </w:pPr>
      <w:r>
        <w:rPr>
          <w:sz w:val="24"/>
          <w:szCs w:val="24"/>
        </w:rPr>
        <w:t xml:space="preserve">The investment manager will be required to vote proxies in the best interest of the Endowment in accordance with appropriate policies disclosed to the Board. </w:t>
      </w:r>
    </w:p>
    <w:p w:rsidR="004C1DFC" w:rsidRPr="001C352D" w:rsidRDefault="004C1DFC" w:rsidP="004C1DFC">
      <w:pPr>
        <w:ind w:left="360"/>
        <w:rPr>
          <w:b/>
          <w:sz w:val="24"/>
          <w:szCs w:val="24"/>
        </w:rPr>
      </w:pPr>
      <w:r w:rsidRPr="001C352D">
        <w:rPr>
          <w:b/>
          <w:sz w:val="24"/>
          <w:szCs w:val="24"/>
        </w:rPr>
        <w:t xml:space="preserve">Fixed Income: </w:t>
      </w:r>
    </w:p>
    <w:p w:rsidR="004C1DFC" w:rsidRDefault="004C1DFC" w:rsidP="004C1DFC">
      <w:pPr>
        <w:ind w:left="360"/>
        <w:rPr>
          <w:sz w:val="24"/>
          <w:szCs w:val="24"/>
        </w:rPr>
      </w:pPr>
      <w:r>
        <w:rPr>
          <w:sz w:val="24"/>
          <w:szCs w:val="24"/>
        </w:rPr>
        <w:t xml:space="preserve">The fixed income portion of a balanced account must comply </w:t>
      </w:r>
      <w:r w:rsidR="0069492D">
        <w:rPr>
          <w:sz w:val="24"/>
          <w:szCs w:val="24"/>
        </w:rPr>
        <w:t>with</w:t>
      </w:r>
      <w:r>
        <w:rPr>
          <w:sz w:val="24"/>
          <w:szCs w:val="24"/>
        </w:rPr>
        <w:t xml:space="preserve"> the appropriate investments and specific requirements set forth in the Intermediate Horizon. </w:t>
      </w:r>
    </w:p>
    <w:p w:rsidR="001C352D" w:rsidRDefault="001C352D" w:rsidP="004C1DFC">
      <w:pPr>
        <w:ind w:left="360"/>
        <w:rPr>
          <w:sz w:val="24"/>
          <w:szCs w:val="24"/>
        </w:rPr>
      </w:pPr>
    </w:p>
    <w:p w:rsidR="001C352D" w:rsidRDefault="001C352D" w:rsidP="004C1DFC">
      <w:pPr>
        <w:ind w:left="360"/>
        <w:rPr>
          <w:sz w:val="24"/>
          <w:szCs w:val="24"/>
        </w:rPr>
      </w:pPr>
    </w:p>
    <w:p w:rsidR="001C352D" w:rsidRDefault="001C352D" w:rsidP="004C1DFC">
      <w:pPr>
        <w:ind w:left="360"/>
        <w:rPr>
          <w:sz w:val="24"/>
          <w:szCs w:val="24"/>
        </w:rPr>
      </w:pPr>
    </w:p>
    <w:p w:rsidR="001C352D" w:rsidRDefault="001C352D" w:rsidP="004C1DFC">
      <w:pPr>
        <w:ind w:left="360"/>
        <w:rPr>
          <w:sz w:val="24"/>
          <w:szCs w:val="24"/>
        </w:rPr>
      </w:pPr>
    </w:p>
    <w:p w:rsidR="001C352D" w:rsidRDefault="001C352D" w:rsidP="004C1DFC">
      <w:pPr>
        <w:ind w:left="360"/>
        <w:rPr>
          <w:sz w:val="24"/>
          <w:szCs w:val="24"/>
        </w:rPr>
      </w:pPr>
    </w:p>
    <w:p w:rsidR="001C352D" w:rsidRDefault="001C352D" w:rsidP="004C1DFC">
      <w:pPr>
        <w:ind w:left="360"/>
        <w:rPr>
          <w:sz w:val="24"/>
          <w:szCs w:val="24"/>
        </w:rPr>
      </w:pPr>
    </w:p>
    <w:p w:rsidR="001C352D" w:rsidRDefault="001C352D" w:rsidP="004C1DFC">
      <w:pPr>
        <w:ind w:left="360"/>
        <w:rPr>
          <w:sz w:val="24"/>
          <w:szCs w:val="24"/>
        </w:rPr>
      </w:pPr>
    </w:p>
    <w:p w:rsidR="004C1DFC" w:rsidRPr="001C352D" w:rsidRDefault="0069492D" w:rsidP="004C1DFC">
      <w:pPr>
        <w:ind w:left="360"/>
        <w:rPr>
          <w:b/>
          <w:sz w:val="24"/>
          <w:szCs w:val="24"/>
        </w:rPr>
      </w:pPr>
      <w:r w:rsidRPr="001C352D">
        <w:rPr>
          <w:b/>
          <w:sz w:val="24"/>
          <w:szCs w:val="24"/>
        </w:rPr>
        <w:t>Investment Policy Review</w:t>
      </w:r>
    </w:p>
    <w:p w:rsidR="0069492D" w:rsidRDefault="0069492D" w:rsidP="004C1DFC">
      <w:pPr>
        <w:ind w:left="360"/>
        <w:rPr>
          <w:sz w:val="24"/>
          <w:szCs w:val="24"/>
        </w:rPr>
      </w:pPr>
      <w:r>
        <w:rPr>
          <w:sz w:val="24"/>
          <w:szCs w:val="24"/>
        </w:rPr>
        <w:t xml:space="preserve">To assure continued relevance of the guidelines, objectives, financial status and capital markets expectations as established in this statement of investment policy, the Endowment Committee plans to review investment policy at least annually. </w:t>
      </w:r>
    </w:p>
    <w:p w:rsidR="0069492D" w:rsidRPr="004C1DFC" w:rsidRDefault="0069492D" w:rsidP="004C1DFC">
      <w:pPr>
        <w:ind w:left="360"/>
        <w:rPr>
          <w:sz w:val="24"/>
          <w:szCs w:val="24"/>
        </w:rPr>
      </w:pPr>
    </w:p>
    <w:sectPr w:rsidR="0069492D" w:rsidRPr="004C1DFC" w:rsidSect="001C35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474" w:rsidRDefault="00D03474" w:rsidP="001C352D">
      <w:pPr>
        <w:spacing w:after="0" w:line="240" w:lineRule="auto"/>
      </w:pPr>
      <w:r>
        <w:separator/>
      </w:r>
    </w:p>
  </w:endnote>
  <w:endnote w:type="continuationSeparator" w:id="0">
    <w:p w:rsidR="00D03474" w:rsidRDefault="00D03474" w:rsidP="001C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52D" w:rsidRDefault="001C35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059994"/>
      <w:docPartObj>
        <w:docPartGallery w:val="Page Numbers (Bottom of Page)"/>
        <w:docPartUnique/>
      </w:docPartObj>
    </w:sdtPr>
    <w:sdtEndPr>
      <w:rPr>
        <w:noProof/>
      </w:rPr>
    </w:sdtEndPr>
    <w:sdtContent>
      <w:p w:rsidR="001C352D" w:rsidRDefault="001C352D">
        <w:pPr>
          <w:pStyle w:val="Footer"/>
          <w:jc w:val="center"/>
        </w:pPr>
        <w:r>
          <w:fldChar w:fldCharType="begin"/>
        </w:r>
        <w:r>
          <w:instrText xml:space="preserve"> PAGE   \* MERGEFORMAT </w:instrText>
        </w:r>
        <w:r>
          <w:fldChar w:fldCharType="separate"/>
        </w:r>
        <w:r w:rsidR="006A2CC6">
          <w:rPr>
            <w:noProof/>
          </w:rPr>
          <w:t>2</w:t>
        </w:r>
        <w:r>
          <w:rPr>
            <w:noProof/>
          </w:rPr>
          <w:fldChar w:fldCharType="end"/>
        </w:r>
      </w:p>
    </w:sdtContent>
  </w:sdt>
  <w:p w:rsidR="001C352D" w:rsidRDefault="001C35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52D" w:rsidRDefault="001C35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474" w:rsidRDefault="00D03474" w:rsidP="001C352D">
      <w:pPr>
        <w:spacing w:after="0" w:line="240" w:lineRule="auto"/>
      </w:pPr>
      <w:r>
        <w:separator/>
      </w:r>
    </w:p>
  </w:footnote>
  <w:footnote w:type="continuationSeparator" w:id="0">
    <w:p w:rsidR="00D03474" w:rsidRDefault="00D03474" w:rsidP="001C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52D" w:rsidRDefault="001C35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52D" w:rsidRDefault="001C35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52D" w:rsidRDefault="001C35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8D6"/>
    <w:multiLevelType w:val="hybridMultilevel"/>
    <w:tmpl w:val="0E12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42F7"/>
    <w:multiLevelType w:val="hybridMultilevel"/>
    <w:tmpl w:val="33C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82BE5"/>
    <w:multiLevelType w:val="hybridMultilevel"/>
    <w:tmpl w:val="CD9E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016E6"/>
    <w:multiLevelType w:val="hybridMultilevel"/>
    <w:tmpl w:val="7250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D0"/>
    <w:rsid w:val="001C352D"/>
    <w:rsid w:val="0044092D"/>
    <w:rsid w:val="004C1DFC"/>
    <w:rsid w:val="004D10A3"/>
    <w:rsid w:val="0069200E"/>
    <w:rsid w:val="0069492D"/>
    <w:rsid w:val="006A2CC6"/>
    <w:rsid w:val="008062D0"/>
    <w:rsid w:val="00843C7F"/>
    <w:rsid w:val="00B0225F"/>
    <w:rsid w:val="00B410D0"/>
    <w:rsid w:val="00CE6856"/>
    <w:rsid w:val="00D03474"/>
    <w:rsid w:val="00E5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641F"/>
  <w15:chartTrackingRefBased/>
  <w15:docId w15:val="{904FDE2C-8DFA-48C4-97C3-4C60E19E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C7F"/>
    <w:pPr>
      <w:ind w:left="720"/>
      <w:contextualSpacing/>
    </w:pPr>
  </w:style>
  <w:style w:type="table" w:styleId="TableGrid">
    <w:name w:val="Table Grid"/>
    <w:basedOn w:val="TableNormal"/>
    <w:uiPriority w:val="39"/>
    <w:rsid w:val="00CE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2D"/>
  </w:style>
  <w:style w:type="paragraph" w:styleId="Footer">
    <w:name w:val="footer"/>
    <w:basedOn w:val="Normal"/>
    <w:link w:val="FooterChar"/>
    <w:uiPriority w:val="99"/>
    <w:unhideWhenUsed/>
    <w:rsid w:val="001C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2D"/>
  </w:style>
  <w:style w:type="paragraph" w:styleId="BalloonText">
    <w:name w:val="Balloon Text"/>
    <w:basedOn w:val="Normal"/>
    <w:link w:val="BalloonTextChar"/>
    <w:uiPriority w:val="99"/>
    <w:semiHidden/>
    <w:unhideWhenUsed/>
    <w:rsid w:val="00E51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Rhoads</dc:creator>
  <cp:keywords/>
  <dc:description/>
  <cp:lastModifiedBy>Tommy Rhoads</cp:lastModifiedBy>
  <cp:revision>4</cp:revision>
  <cp:lastPrinted>2021-02-01T18:55:00Z</cp:lastPrinted>
  <dcterms:created xsi:type="dcterms:W3CDTF">2020-10-08T16:02:00Z</dcterms:created>
  <dcterms:modified xsi:type="dcterms:W3CDTF">2021-02-09T18:20:00Z</dcterms:modified>
</cp:coreProperties>
</file>